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s>
        <w:spacing w:line="360" w:lineRule="auto"/>
        <w:jc w:val="center"/>
        <w:rPr>
          <w:rFonts w:hint="eastAsia" w:ascii="宋体" w:hAnsi="宋体" w:eastAsia="宋体" w:cs="宋体"/>
          <w:b/>
          <w:sz w:val="30"/>
          <w:szCs w:val="30"/>
          <w:lang w:eastAsia="zh-CN"/>
        </w:rPr>
      </w:pPr>
      <w:r>
        <w:rPr>
          <w:rFonts w:hint="eastAsia" w:ascii="宋体" w:hAnsi="宋体" w:eastAsia="宋体" w:cs="宋体"/>
          <w:b/>
          <w:sz w:val="30"/>
          <w:szCs w:val="30"/>
        </w:rPr>
        <w:t>广东南方职业学院</w:t>
      </w:r>
      <w:r>
        <w:rPr>
          <w:rFonts w:hint="eastAsia" w:ascii="宋体" w:hAnsi="宋体" w:eastAsia="宋体" w:cs="宋体"/>
          <w:b/>
          <w:sz w:val="30"/>
          <w:szCs w:val="30"/>
          <w:lang w:eastAsia="zh-CN"/>
        </w:rPr>
        <w:t>成人高等教育</w:t>
      </w:r>
    </w:p>
    <w:p>
      <w:pPr>
        <w:tabs>
          <w:tab w:val="left" w:pos="0"/>
        </w:tabs>
        <w:spacing w:line="360" w:lineRule="auto"/>
        <w:jc w:val="center"/>
        <w:rPr>
          <w:rFonts w:hint="eastAsia" w:ascii="宋体" w:hAnsi="宋体" w:eastAsia="宋体" w:cs="宋体"/>
          <w:b/>
          <w:sz w:val="30"/>
          <w:szCs w:val="30"/>
        </w:rPr>
      </w:pPr>
      <w:r>
        <w:rPr>
          <w:rFonts w:hint="eastAsia" w:ascii="宋体" w:hAnsi="宋体" w:eastAsia="宋体" w:cs="宋体"/>
          <w:b/>
          <w:sz w:val="30"/>
          <w:szCs w:val="30"/>
        </w:rPr>
        <w:t>202</w:t>
      </w:r>
      <w:r>
        <w:rPr>
          <w:rFonts w:hint="eastAsia" w:ascii="宋体" w:hAnsi="宋体" w:cs="宋体"/>
          <w:b/>
          <w:sz w:val="30"/>
          <w:szCs w:val="30"/>
          <w:lang w:val="en-US" w:eastAsia="zh-CN"/>
        </w:rPr>
        <w:t>3</w:t>
      </w:r>
      <w:r>
        <w:rPr>
          <w:rFonts w:hint="eastAsia" w:ascii="宋体" w:hAnsi="宋体" w:eastAsia="宋体" w:cs="宋体"/>
          <w:b/>
          <w:sz w:val="30"/>
          <w:szCs w:val="30"/>
        </w:rPr>
        <w:t>年第</w:t>
      </w:r>
      <w:r>
        <w:rPr>
          <w:rFonts w:hint="eastAsia" w:ascii="宋体" w:hAnsi="宋体" w:cs="宋体"/>
          <w:b/>
          <w:sz w:val="30"/>
          <w:szCs w:val="30"/>
          <w:lang w:val="en-US" w:eastAsia="zh-CN"/>
        </w:rPr>
        <w:t>三</w:t>
      </w:r>
      <w:r>
        <w:rPr>
          <w:rFonts w:hint="eastAsia" w:ascii="宋体" w:hAnsi="宋体" w:eastAsia="宋体" w:cs="宋体"/>
          <w:b/>
          <w:sz w:val="30"/>
          <w:szCs w:val="30"/>
        </w:rPr>
        <w:t>学期考试试卷</w:t>
      </w:r>
    </w:p>
    <w:p>
      <w:pPr>
        <w:tabs>
          <w:tab w:val="left" w:pos="0"/>
        </w:tabs>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课程名称：</w:t>
      </w:r>
      <w:r>
        <w:rPr>
          <w:rFonts w:hint="eastAsia" w:ascii="宋体" w:hAnsi="宋体" w:eastAsia="宋体" w:cs="宋体"/>
          <w:b/>
          <w:sz w:val="24"/>
          <w:szCs w:val="24"/>
          <w:u w:val="single"/>
          <w:lang w:val="en-US" w:eastAsia="zh-CN"/>
        </w:rPr>
        <w:t>品牌管理</w:t>
      </w:r>
      <w:r>
        <w:rPr>
          <w:rFonts w:hint="eastAsia" w:ascii="宋体" w:hAnsi="宋体" w:cs="宋体"/>
          <w:b/>
          <w:sz w:val="24"/>
          <w:szCs w:val="24"/>
          <w:u w:val="none"/>
          <w:lang w:val="en-US" w:eastAsia="zh-CN"/>
        </w:rPr>
        <w:t xml:space="preserve"> </w:t>
      </w:r>
      <w:r>
        <w:rPr>
          <w:rFonts w:hint="eastAsia" w:ascii="宋体" w:hAnsi="宋体" w:eastAsia="宋体" w:cs="宋体"/>
          <w:b/>
          <w:sz w:val="24"/>
          <w:szCs w:val="24"/>
        </w:rPr>
        <w:t>课程班级：</w:t>
      </w:r>
      <w:r>
        <w:rPr>
          <w:rFonts w:hint="eastAsia" w:ascii="宋体" w:hAnsi="宋体" w:eastAsia="宋体" w:cs="宋体"/>
          <w:b/>
          <w:sz w:val="24"/>
          <w:szCs w:val="24"/>
          <w:u w:val="single"/>
          <w:lang w:val="en-US" w:eastAsia="zh-CN"/>
        </w:rPr>
        <w:t>202</w:t>
      </w:r>
      <w:r>
        <w:rPr>
          <w:rFonts w:hint="eastAsia" w:ascii="宋体" w:hAnsi="宋体" w:cs="宋体"/>
          <w:b/>
          <w:sz w:val="24"/>
          <w:szCs w:val="24"/>
          <w:u w:val="single"/>
          <w:lang w:val="en-US" w:eastAsia="zh-CN"/>
        </w:rPr>
        <w:t>2</w:t>
      </w:r>
      <w:r>
        <w:rPr>
          <w:rFonts w:hint="eastAsia" w:ascii="宋体" w:hAnsi="宋体" w:eastAsia="宋体" w:cs="宋体"/>
          <w:b/>
          <w:sz w:val="24"/>
          <w:szCs w:val="24"/>
          <w:u w:val="single"/>
          <w:lang w:val="en-US" w:eastAsia="zh-CN"/>
        </w:rPr>
        <w:t>级</w:t>
      </w:r>
      <w:r>
        <w:rPr>
          <w:rFonts w:hint="eastAsia" w:ascii="宋体" w:hAnsi="宋体" w:cs="宋体"/>
          <w:b/>
          <w:sz w:val="24"/>
          <w:szCs w:val="24"/>
          <w:u w:val="single"/>
          <w:lang w:val="en-US" w:eastAsia="zh-CN"/>
        </w:rPr>
        <w:t>人力资源管理</w:t>
      </w:r>
      <w:r>
        <w:rPr>
          <w:rFonts w:hint="eastAsia" w:ascii="宋体" w:hAnsi="宋体" w:eastAsia="宋体" w:cs="宋体"/>
          <w:b/>
          <w:sz w:val="24"/>
          <w:szCs w:val="24"/>
        </w:rPr>
        <w:t xml:space="preserve"> 层次：</w:t>
      </w:r>
      <w:r>
        <w:rPr>
          <w:rFonts w:hint="eastAsia" w:ascii="宋体" w:hAnsi="宋体" w:eastAsia="宋体" w:cs="宋体"/>
          <w:b/>
          <w:sz w:val="24"/>
          <w:szCs w:val="24"/>
          <w:u w:val="single"/>
        </w:rPr>
        <w:t>专科</w:t>
      </w:r>
      <w:r>
        <w:rPr>
          <w:rFonts w:hint="eastAsia" w:ascii="宋体" w:hAnsi="宋体" w:eastAsia="宋体" w:cs="宋体"/>
          <w:b/>
          <w:sz w:val="24"/>
          <w:szCs w:val="24"/>
        </w:rPr>
        <w:t xml:space="preserve"> 共</w:t>
      </w:r>
      <w:r>
        <w:rPr>
          <w:rFonts w:hint="eastAsia" w:ascii="宋体" w:hAnsi="宋体" w:eastAsia="宋体" w:cs="宋体"/>
          <w:b/>
          <w:sz w:val="24"/>
          <w:szCs w:val="24"/>
          <w:u w:val="single"/>
        </w:rPr>
        <w:t xml:space="preserve"> </w:t>
      </w:r>
      <w:r>
        <w:rPr>
          <w:rFonts w:hint="eastAsia" w:ascii="宋体" w:hAnsi="宋体" w:eastAsia="宋体" w:cs="宋体"/>
          <w:b/>
          <w:sz w:val="24"/>
          <w:szCs w:val="24"/>
          <w:u w:val="single"/>
          <w:lang w:val="en-US" w:eastAsia="zh-CN"/>
        </w:rPr>
        <w:t>4</w:t>
      </w:r>
      <w:r>
        <w:rPr>
          <w:rFonts w:hint="eastAsia" w:ascii="宋体" w:hAnsi="宋体" w:eastAsia="宋体" w:cs="宋体"/>
          <w:b/>
          <w:sz w:val="24"/>
          <w:szCs w:val="24"/>
          <w:u w:val="single"/>
        </w:rPr>
        <w:t xml:space="preserve"> </w:t>
      </w:r>
      <w:r>
        <w:rPr>
          <w:rFonts w:hint="eastAsia" w:ascii="宋体" w:hAnsi="宋体" w:eastAsia="宋体" w:cs="宋体"/>
          <w:b/>
          <w:sz w:val="24"/>
          <w:szCs w:val="24"/>
        </w:rPr>
        <w:t>页</w:t>
      </w:r>
    </w:p>
    <w:p>
      <w:pPr>
        <w:tabs>
          <w:tab w:val="left" w:pos="0"/>
        </w:tabs>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姓名：_____________   学号：_________________   得分：___________</w:t>
      </w:r>
    </w:p>
    <w:p>
      <w:pPr>
        <w:keepNext w:val="0"/>
        <w:keepLines w:val="0"/>
        <w:pageBreakBefore w:val="0"/>
        <w:widowControl w:val="0"/>
        <w:kinsoku/>
        <w:wordWrap/>
        <w:overflowPunct/>
        <w:topLinePunct w:val="0"/>
        <w:autoSpaceDE/>
        <w:autoSpaceDN/>
        <w:bidi w:val="0"/>
        <w:adjustRightInd/>
        <w:snapToGrid/>
        <w:spacing w:line="480" w:lineRule="auto"/>
        <w:ind w:right="0" w:rightChars="0"/>
        <w:jc w:val="center"/>
        <w:textAlignment w:val="auto"/>
        <w:rPr>
          <w:rFonts w:hint="eastAsia" w:ascii="宋体" w:hAnsi="宋体" w:eastAsia="宋体" w:cs="宋体"/>
          <w:b/>
          <w:bCs/>
          <w:sz w:val="24"/>
          <w:szCs w:val="24"/>
        </w:rPr>
      </w:pPr>
    </w:p>
    <w:p>
      <w:pPr>
        <w:numPr>
          <w:ilvl w:val="0"/>
          <w:numId w:val="1"/>
        </w:numPr>
        <w:spacing w:line="360" w:lineRule="auto"/>
        <w:ind w:left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lang w:eastAsia="zh-CN"/>
        </w:rPr>
        <w:t>单项</w:t>
      </w:r>
      <w:r>
        <w:rPr>
          <w:rFonts w:hint="eastAsia" w:asciiTheme="minorEastAsia" w:hAnsiTheme="minorEastAsia" w:eastAsiaTheme="minorEastAsia" w:cstheme="minorEastAsia"/>
          <w:b/>
          <w:bCs/>
          <w:sz w:val="24"/>
          <w:szCs w:val="24"/>
        </w:rPr>
        <w:t>选择题</w:t>
      </w:r>
      <w:r>
        <w:rPr>
          <w:rStyle w:val="6"/>
          <w:rFonts w:hint="eastAsia" w:asciiTheme="minorEastAsia" w:hAnsiTheme="minorEastAsia" w:eastAsiaTheme="minorEastAsia" w:cstheme="minorEastAsia"/>
          <w:b/>
          <w:bCs/>
          <w:color w:val="000000"/>
          <w:sz w:val="24"/>
          <w:szCs w:val="24"/>
          <w:lang w:eastAsia="zh-CN"/>
        </w:rPr>
        <w:t>（</w:t>
      </w:r>
      <w:r>
        <w:rPr>
          <w:rStyle w:val="6"/>
          <w:rFonts w:hint="eastAsia" w:asciiTheme="minorEastAsia" w:hAnsiTheme="minorEastAsia" w:eastAsiaTheme="minorEastAsia" w:cstheme="minorEastAsia"/>
          <w:b/>
          <w:bCs/>
          <w:color w:val="000000"/>
          <w:sz w:val="24"/>
          <w:szCs w:val="24"/>
        </w:rPr>
        <w:t>每</w:t>
      </w:r>
      <w:r>
        <w:rPr>
          <w:rStyle w:val="6"/>
          <w:rFonts w:hint="eastAsia" w:asciiTheme="minorEastAsia" w:hAnsiTheme="minorEastAsia" w:cstheme="minorEastAsia"/>
          <w:b/>
          <w:bCs/>
          <w:color w:val="000000"/>
          <w:sz w:val="24"/>
          <w:szCs w:val="24"/>
          <w:lang w:val="en-US" w:eastAsia="zh-CN"/>
        </w:rPr>
        <w:t>小</w:t>
      </w:r>
      <w:r>
        <w:rPr>
          <w:rStyle w:val="6"/>
          <w:rFonts w:hint="eastAsia" w:asciiTheme="minorEastAsia" w:hAnsiTheme="minorEastAsia" w:eastAsiaTheme="minorEastAsia" w:cstheme="minorEastAsia"/>
          <w:b/>
          <w:bCs/>
          <w:color w:val="000000"/>
          <w:sz w:val="24"/>
          <w:szCs w:val="24"/>
        </w:rPr>
        <w:t>题2分，共</w:t>
      </w:r>
      <w:r>
        <w:rPr>
          <w:rStyle w:val="6"/>
          <w:rFonts w:hint="eastAsia" w:asciiTheme="minorEastAsia" w:hAnsiTheme="minorEastAsia" w:cstheme="minorEastAsia"/>
          <w:b/>
          <w:bCs/>
          <w:color w:val="000000"/>
          <w:sz w:val="24"/>
          <w:szCs w:val="24"/>
          <w:lang w:val="en-US" w:eastAsia="zh-CN"/>
        </w:rPr>
        <w:t>2</w:t>
      </w:r>
      <w:r>
        <w:rPr>
          <w:rStyle w:val="6"/>
          <w:rFonts w:hint="eastAsia" w:asciiTheme="minorEastAsia" w:hAnsiTheme="minorEastAsia" w:eastAsiaTheme="minorEastAsia" w:cstheme="minorEastAsia"/>
          <w:b/>
          <w:bCs/>
          <w:color w:val="000000"/>
          <w:sz w:val="24"/>
          <w:szCs w:val="24"/>
          <w:lang w:val="en-US" w:eastAsia="zh-CN"/>
        </w:rPr>
        <w:t>0</w:t>
      </w:r>
      <w:r>
        <w:rPr>
          <w:rStyle w:val="6"/>
          <w:rFonts w:hint="eastAsia" w:asciiTheme="minorEastAsia" w:hAnsiTheme="minorEastAsia" w:eastAsiaTheme="minorEastAsia" w:cstheme="minorEastAsia"/>
          <w:b/>
          <w:bCs/>
          <w:color w:val="000000"/>
          <w:sz w:val="24"/>
          <w:szCs w:val="24"/>
        </w:rPr>
        <w:t>分</w:t>
      </w:r>
      <w:r>
        <w:rPr>
          <w:rStyle w:val="6"/>
          <w:rFonts w:hint="eastAsia" w:asciiTheme="minorEastAsia" w:hAnsiTheme="minorEastAsia" w:eastAsiaTheme="minorEastAsia" w:cstheme="minorEastAsia"/>
          <w:b/>
          <w:bCs/>
          <w:color w:val="000000"/>
          <w:sz w:val="24"/>
          <w:szCs w:val="24"/>
          <w:lang w:eastAsia="zh-CN"/>
        </w:rPr>
        <w:t>）</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1．在相同的产品类型中引进其他品牌，其品牌战略是(</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品牌延伸</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多品牌</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新品牌</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产品线扩展</w:t>
      </w:r>
    </w:p>
    <w:p>
      <w:pPr>
        <w:spacing w:line="36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．品牌中可以用语言称呼、表达的部分是(</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品牌</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商标</w:t>
      </w:r>
      <w:r>
        <w:rPr>
          <w:rFonts w:hint="eastAsia" w:asciiTheme="minorEastAsia" w:hAnsiTheme="minorEastAsia" w:eastAsiaTheme="minorEastAsia" w:cstheme="minorEastAsia"/>
          <w:lang w:val="en-US" w:eastAsia="zh-CN"/>
        </w:rPr>
        <w:t xml:space="preserve">             C.</w:t>
      </w:r>
      <w:r>
        <w:rPr>
          <w:rFonts w:hint="eastAsia" w:asciiTheme="minorEastAsia" w:hAnsiTheme="minorEastAsia" w:eastAsiaTheme="minorEastAsia" w:cstheme="minorEastAsia"/>
        </w:rPr>
        <w:t>品牌标志</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品牌名称</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 xml:space="preserve">. (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)品牌就是指一个企业的各种产品分别采用不同的品牌。</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个别</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制造商</w:t>
      </w:r>
      <w:r>
        <w:rPr>
          <w:rFonts w:hint="eastAsia" w:asciiTheme="minorEastAsia" w:hAnsiTheme="minorEastAsia" w:eastAsiaTheme="minorEastAsia" w:cstheme="minorEastAsia"/>
          <w:lang w:val="en-US" w:eastAsia="zh-CN"/>
        </w:rPr>
        <w:t xml:space="preserve">             C.</w:t>
      </w:r>
      <w:r>
        <w:rPr>
          <w:rFonts w:hint="eastAsia" w:asciiTheme="minorEastAsia" w:hAnsiTheme="minorEastAsia" w:eastAsiaTheme="minorEastAsia" w:cstheme="minorEastAsia"/>
        </w:rPr>
        <w:t>中间商</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统一</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 xml:space="preserve">．制造商品牌又称 (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全国品牌</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分销商品牌</w:t>
      </w:r>
      <w:r>
        <w:rPr>
          <w:rFonts w:hint="eastAsia" w:asciiTheme="minorEastAsia" w:hAnsiTheme="minorEastAsia" w:eastAsiaTheme="minorEastAsia" w:cstheme="minorEastAsia"/>
          <w:lang w:val="en-US" w:eastAsia="zh-CN"/>
        </w:rPr>
        <w:t xml:space="preserve">          C.</w:t>
      </w:r>
      <w:r>
        <w:rPr>
          <w:rFonts w:hint="eastAsia" w:asciiTheme="minorEastAsia" w:hAnsiTheme="minorEastAsia" w:eastAsiaTheme="minorEastAsia" w:cstheme="minorEastAsia"/>
        </w:rPr>
        <w:t>商店品牌</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私人品牌</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 xml:space="preserve">．品牌最基本的含义是品牌代表着特定的 (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消费者类型</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文化</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利益</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商品属性</w:t>
      </w:r>
    </w:p>
    <w:p>
      <w:pPr>
        <w:spacing w:line="36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 xml:space="preserve">．品牌有利于企业实施（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）战略</w:t>
      </w:r>
      <w:r>
        <w:rPr>
          <w:rFonts w:hint="eastAsia" w:asciiTheme="minorEastAsia" w:hAnsiTheme="minorEastAsia" w:eastAsiaTheme="minorEastAsia" w:cstheme="minorEastAsia"/>
          <w:lang w:eastAsia="zh-CN"/>
        </w:rPr>
        <w:t>。</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A.市场竞争</w:t>
      </w:r>
      <w:r>
        <w:rPr>
          <w:rFonts w:hint="eastAsia" w:asciiTheme="minorEastAsia" w:hAnsiTheme="minorEastAsia" w:eastAsiaTheme="minorEastAsia" w:cstheme="minorEastAsia"/>
          <w:lang w:val="en-US" w:eastAsia="zh-CN"/>
        </w:rPr>
        <w:t xml:space="preserve">            B.</w:t>
      </w:r>
      <w:r>
        <w:rPr>
          <w:rFonts w:hint="eastAsia" w:asciiTheme="minorEastAsia" w:hAnsiTheme="minorEastAsia" w:eastAsiaTheme="minorEastAsia" w:cstheme="minorEastAsia"/>
        </w:rPr>
        <w:t>市场细分</w:t>
      </w:r>
      <w:r>
        <w:rPr>
          <w:rFonts w:hint="eastAsia" w:asciiTheme="minorEastAsia" w:hAnsiTheme="minorEastAsia" w:eastAsiaTheme="minorEastAsia" w:cstheme="minorEastAsia"/>
          <w:lang w:val="en-US" w:eastAsia="zh-CN"/>
        </w:rPr>
        <w:t xml:space="preserve">           C</w:t>
      </w:r>
      <w:r>
        <w:rPr>
          <w:rFonts w:hint="eastAsia" w:asciiTheme="minorEastAsia" w:hAnsiTheme="minorEastAsia" w:eastAsiaTheme="minorEastAsia" w:cstheme="minorEastAsia"/>
        </w:rPr>
        <w:t>. CI</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D.市场选择</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．品牌有利于保护(</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)的合法权益。</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商品所有者</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B．生产商</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C．品牌所有者</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D．经商</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8</w:t>
      </w:r>
      <w:r>
        <w:rPr>
          <w:rFonts w:hint="eastAsia" w:asciiTheme="minorEastAsia" w:hAnsiTheme="minorEastAsia" w:eastAsiaTheme="minorEastAsia" w:cstheme="minorEastAsia"/>
        </w:rPr>
        <w:t xml:space="preserve">．我国对商标的认定坚持 (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)原则。</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A．注册再先</w:t>
      </w:r>
      <w:r>
        <w:rPr>
          <w:rFonts w:hint="eastAsia" w:asciiTheme="minorEastAsia" w:hAnsiTheme="minorEastAsia" w:eastAsiaTheme="minorEastAsia" w:cstheme="minorEastAsia"/>
          <w:lang w:val="en-US" w:eastAsia="zh-CN"/>
        </w:rPr>
        <w:t xml:space="preserve">                        B</w:t>
      </w:r>
      <w:r>
        <w:rPr>
          <w:rFonts w:hint="eastAsia" w:asciiTheme="minorEastAsia" w:hAnsiTheme="minorEastAsia" w:eastAsiaTheme="minorEastAsia" w:cstheme="minorEastAsia"/>
        </w:rPr>
        <w:t>．使用优先辅以注册优先</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C．使用在先</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D.注册优先辅以使用优先</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9</w:t>
      </w:r>
      <w:r>
        <w:rPr>
          <w:rFonts w:hint="eastAsia" w:asciiTheme="minorEastAsia" w:hAnsiTheme="minorEastAsia" w:eastAsiaTheme="minorEastAsia" w:cstheme="minorEastAsia"/>
        </w:rPr>
        <w:t xml:space="preserve">．企业欲在产品分销过程中占有更大的货价空间来为获得较高的市场占有率奠定基础，一般会选择 (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)策略。</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统一品牌</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B．分类品牌</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C．多品牌</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复合品牌</w:t>
      </w:r>
    </w:p>
    <w:p>
      <w:pPr>
        <w:spacing w:line="36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w:t>
      </w:r>
      <w:r>
        <w:rPr>
          <w:rFonts w:hint="eastAsia" w:asciiTheme="minorEastAsia" w:hAnsiTheme="minorEastAsia" w:eastAsiaTheme="minorEastAsia" w:cstheme="minorEastAsia"/>
          <w:lang w:val="en-US" w:eastAsia="zh-CN"/>
        </w:rPr>
        <w:t>0</w:t>
      </w:r>
      <w:r>
        <w:rPr>
          <w:rFonts w:hint="eastAsia" w:asciiTheme="minorEastAsia" w:hAnsiTheme="minorEastAsia" w:eastAsiaTheme="minorEastAsia" w:cstheme="minorEastAsia"/>
        </w:rPr>
        <w:t xml:space="preserve">．企业利用其成功品牌的声誉来推动改良产品或新产品,称为 (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w:t>
      </w:r>
      <w:r>
        <w:rPr>
          <w:rFonts w:hint="eastAsia" w:asciiTheme="minorEastAsia" w:hAnsiTheme="minorEastAsia" w:cstheme="minorEastAsia"/>
          <w:lang w:eastAsia="zh-CN"/>
        </w:rPr>
        <w:t>。</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A．品牌扩展</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B．品牌转移</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C．品牌更新</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D．品牌再定位</w:t>
      </w:r>
    </w:p>
    <w:p>
      <w:pPr>
        <w:spacing w:line="360" w:lineRule="auto"/>
        <w:rPr>
          <w:rFonts w:hint="eastAsia" w:asciiTheme="minorEastAsia" w:hAnsiTheme="minorEastAsia" w:eastAsiaTheme="minorEastAsia" w:cstheme="minorEastAsia"/>
          <w:b/>
          <w:bCs/>
          <w:sz w:val="24"/>
          <w:szCs w:val="32"/>
          <w:lang w:val="en-US" w:eastAsia="zh-CN"/>
        </w:rPr>
      </w:pPr>
      <w:r>
        <w:rPr>
          <w:rFonts w:hint="eastAsia" w:asciiTheme="minorEastAsia" w:hAnsiTheme="minorEastAsia" w:eastAsiaTheme="minorEastAsia" w:cstheme="minorEastAsia"/>
          <w:b/>
          <w:bCs/>
          <w:sz w:val="24"/>
          <w:szCs w:val="32"/>
          <w:lang w:val="en-US" w:eastAsia="zh-CN"/>
        </w:rPr>
        <w:t>二、判断题（每小题2分，共</w:t>
      </w:r>
      <w:r>
        <w:rPr>
          <w:rFonts w:hint="eastAsia" w:asciiTheme="minorEastAsia" w:hAnsiTheme="minorEastAsia" w:cstheme="minorEastAsia"/>
          <w:b/>
          <w:bCs/>
          <w:sz w:val="24"/>
          <w:szCs w:val="32"/>
          <w:lang w:val="en-US" w:eastAsia="zh-CN"/>
        </w:rPr>
        <w:t>2</w:t>
      </w:r>
      <w:r>
        <w:rPr>
          <w:rFonts w:hint="eastAsia" w:asciiTheme="minorEastAsia" w:hAnsiTheme="minorEastAsia" w:eastAsiaTheme="minorEastAsia" w:cstheme="minorEastAsia"/>
          <w:b/>
          <w:bCs/>
          <w:sz w:val="24"/>
          <w:szCs w:val="32"/>
          <w:lang w:val="en-US" w:eastAsia="zh-CN"/>
        </w:rPr>
        <w:t>0分）</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1．品牌偏好度是消费者对品牌的喜好程度以及长期的购买意愿。(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2.充分的市场调研和完善而细致的品牌环境评审，是企业合理规划和实施品牌价值选择，实现品牌价值创造的重要先决条件，并有利于避免盲目决策和市场风险。(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3.品牌购买适合有一定的组织和资金实力，具有销售通路能力和营销优势的企业使用</w:t>
      </w:r>
      <w:r>
        <w:rPr>
          <w:rFonts w:hint="eastAsia" w:asciiTheme="minorEastAsia" w:hAnsiTheme="minorEastAsia" w:cstheme="minorEastAsia"/>
          <w:lang w:eastAsia="zh-CN"/>
        </w:rPr>
        <w:t>。</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4.“峰极定律”指出，人们对于体验的记忆由高峰时的感觉决定。(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5.无论企业处于哪种发展阶段，品牌建设的重点都是一致7/ 13的。(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6.“原创力”指的是在技术的应用和开发上要有企业竞争力的内核。(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7.百度的快速发展，验证了强品牌发展模式的现实路径。(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8.品牌认知度高，而品牌美誉度低，说明企业有好产品，但品牌营销过度。(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9.合伙品牌对品牌联合的相对贡献取决于合伙品牌的美誉度。(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 xml:space="preserve">0.七星品牌测评方法，可以有效地监测品牌口碑、品牌影响力，并可寻找行业企业的共性品牌指标，拥有行业内品牌影响力、品牌口碑的统一监测和评估。(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w:t>
      </w:r>
    </w:p>
    <w:p>
      <w:pPr>
        <w:rPr>
          <w:rFonts w:hint="eastAsia"/>
        </w:rPr>
      </w:pPr>
    </w:p>
    <w:p>
      <w:pPr>
        <w:spacing w:line="360" w:lineRule="auto"/>
        <w:rPr>
          <w:rFonts w:hint="eastAsia" w:asciiTheme="minorEastAsia" w:hAnsiTheme="minorEastAsia" w:eastAsiaTheme="minorEastAsia" w:cstheme="minorEastAsia"/>
          <w:b/>
          <w:bCs/>
          <w:sz w:val="24"/>
          <w:szCs w:val="32"/>
        </w:rPr>
      </w:pPr>
      <w:r>
        <w:rPr>
          <w:rFonts w:hint="eastAsia" w:asciiTheme="minorEastAsia" w:hAnsiTheme="minorEastAsia" w:cstheme="minorEastAsia"/>
          <w:b/>
          <w:bCs/>
          <w:sz w:val="24"/>
          <w:szCs w:val="32"/>
          <w:lang w:val="en-US" w:eastAsia="zh-CN"/>
        </w:rPr>
        <w:t>三</w:t>
      </w:r>
      <w:r>
        <w:rPr>
          <w:rFonts w:hint="eastAsia" w:asciiTheme="minorEastAsia" w:hAnsiTheme="minorEastAsia" w:eastAsiaTheme="minorEastAsia" w:cstheme="minorEastAsia"/>
          <w:b/>
          <w:bCs/>
          <w:sz w:val="24"/>
          <w:szCs w:val="32"/>
        </w:rPr>
        <w:t>、简答题（每小题</w:t>
      </w:r>
      <w:r>
        <w:rPr>
          <w:rFonts w:hint="eastAsia" w:asciiTheme="minorEastAsia" w:hAnsiTheme="minorEastAsia" w:eastAsiaTheme="minorEastAsia" w:cstheme="minorEastAsia"/>
          <w:b/>
          <w:bCs/>
          <w:sz w:val="24"/>
          <w:szCs w:val="32"/>
          <w:lang w:val="en-US" w:eastAsia="zh-CN"/>
        </w:rPr>
        <w:t>6</w:t>
      </w:r>
      <w:r>
        <w:rPr>
          <w:rFonts w:hint="eastAsia" w:asciiTheme="minorEastAsia" w:hAnsiTheme="minorEastAsia" w:eastAsiaTheme="minorEastAsia" w:cstheme="minorEastAsia"/>
          <w:b/>
          <w:bCs/>
          <w:sz w:val="24"/>
          <w:szCs w:val="32"/>
        </w:rPr>
        <w:t>分，共</w:t>
      </w:r>
      <w:r>
        <w:rPr>
          <w:rFonts w:hint="eastAsia" w:asciiTheme="minorEastAsia" w:hAnsiTheme="minorEastAsia" w:eastAsiaTheme="minorEastAsia" w:cstheme="minorEastAsia"/>
          <w:b/>
          <w:bCs/>
          <w:sz w:val="24"/>
          <w:szCs w:val="32"/>
          <w:lang w:val="en-US" w:eastAsia="zh-CN"/>
        </w:rPr>
        <w:t>3</w:t>
      </w:r>
      <w:r>
        <w:rPr>
          <w:rFonts w:hint="eastAsia" w:asciiTheme="minorEastAsia" w:hAnsiTheme="minorEastAsia" w:eastAsiaTheme="minorEastAsia" w:cstheme="minorEastAsia"/>
          <w:b/>
          <w:bCs/>
          <w:sz w:val="24"/>
          <w:szCs w:val="32"/>
        </w:rPr>
        <w:t>0分）</w:t>
      </w: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1.筒述CI识别系统设计规划原则和规划过程。</w:t>
      </w:r>
    </w:p>
    <w:p>
      <w:pPr>
        <w:spacing w:line="360" w:lineRule="auto"/>
        <w:rPr>
          <w:rFonts w:hint="eastAsia" w:asciiTheme="minorEastAsia" w:hAnsiTheme="minorEastAsia" w:eastAsiaTheme="minorEastAsia" w:cstheme="minorEastAsia"/>
        </w:rPr>
      </w:pPr>
    </w:p>
    <w:p>
      <w:pPr>
        <w:spacing w:line="360" w:lineRule="auto"/>
        <w:rPr>
          <w:rFonts w:hint="eastAsia" w:asciiTheme="minorEastAsia" w:hAnsiTheme="minorEastAsia" w:eastAsiaTheme="minorEastAsia" w:cstheme="minorEastAsia"/>
        </w:rPr>
      </w:pPr>
    </w:p>
    <w:p>
      <w:pPr>
        <w:spacing w:line="360" w:lineRule="auto"/>
        <w:rPr>
          <w:rFonts w:hint="eastAsia" w:asciiTheme="minorEastAsia" w:hAnsiTheme="minorEastAsia" w:eastAsiaTheme="minorEastAsia" w:cstheme="minorEastAsia"/>
        </w:rPr>
      </w:pPr>
    </w:p>
    <w:p>
      <w:pPr>
        <w:spacing w:line="360" w:lineRule="auto"/>
        <w:rPr>
          <w:rFonts w:hint="eastAsia" w:asciiTheme="minorEastAsia" w:hAnsiTheme="minorEastAsia" w:eastAsiaTheme="minorEastAsia" w:cstheme="minorEastAsia"/>
        </w:rPr>
      </w:pPr>
    </w:p>
    <w:p>
      <w:pPr>
        <w:numPr>
          <w:ilvl w:val="0"/>
          <w:numId w:val="2"/>
        </w:num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简述品牌味觉识别的构建模式。</w:t>
      </w:r>
    </w:p>
    <w:p>
      <w:pPr>
        <w:widowControl w:val="0"/>
        <w:numPr>
          <w:ilvl w:val="0"/>
          <w:numId w:val="0"/>
        </w:numPr>
        <w:spacing w:line="360" w:lineRule="auto"/>
        <w:jc w:val="both"/>
        <w:rPr>
          <w:rFonts w:hint="eastAsia" w:asciiTheme="minorEastAsia" w:hAnsiTheme="minorEastAsia" w:eastAsiaTheme="minorEastAsia" w:cstheme="minorEastAsia"/>
        </w:rPr>
      </w:pPr>
    </w:p>
    <w:p>
      <w:pPr>
        <w:widowControl w:val="0"/>
        <w:numPr>
          <w:ilvl w:val="0"/>
          <w:numId w:val="0"/>
        </w:numPr>
        <w:spacing w:line="360" w:lineRule="auto"/>
        <w:jc w:val="both"/>
        <w:rPr>
          <w:rFonts w:hint="eastAsia" w:asciiTheme="minorEastAsia" w:hAnsiTheme="minorEastAsia" w:eastAsiaTheme="minorEastAsia" w:cstheme="minorEastAsia"/>
        </w:rPr>
      </w:pPr>
    </w:p>
    <w:p>
      <w:pPr>
        <w:widowControl w:val="0"/>
        <w:numPr>
          <w:ilvl w:val="0"/>
          <w:numId w:val="0"/>
        </w:numPr>
        <w:spacing w:line="360" w:lineRule="auto"/>
        <w:jc w:val="both"/>
        <w:rPr>
          <w:rFonts w:hint="eastAsia" w:asciiTheme="minorEastAsia" w:hAnsiTheme="minorEastAsia" w:eastAsiaTheme="minorEastAsia" w:cstheme="minorEastAsia"/>
        </w:rPr>
      </w:pPr>
    </w:p>
    <w:p>
      <w:pPr>
        <w:widowControl w:val="0"/>
        <w:numPr>
          <w:ilvl w:val="0"/>
          <w:numId w:val="0"/>
        </w:numPr>
        <w:spacing w:line="360" w:lineRule="auto"/>
        <w:jc w:val="both"/>
        <w:rPr>
          <w:rFonts w:hint="eastAsia" w:asciiTheme="minorEastAsia" w:hAnsiTheme="minorEastAsia" w:eastAsiaTheme="minorEastAsia" w:cstheme="minorEastAsia"/>
        </w:rPr>
      </w:pP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3.简述打造设计师产品品牌的有效模式。</w:t>
      </w:r>
    </w:p>
    <w:p>
      <w:pPr>
        <w:spacing w:line="360" w:lineRule="auto"/>
        <w:rPr>
          <w:rFonts w:hint="eastAsia" w:asciiTheme="minorEastAsia" w:hAnsiTheme="minorEastAsia" w:eastAsiaTheme="minorEastAsia" w:cstheme="minorEastAsia"/>
        </w:rPr>
      </w:pPr>
    </w:p>
    <w:p>
      <w:pPr>
        <w:spacing w:line="360" w:lineRule="auto"/>
        <w:rPr>
          <w:rFonts w:hint="eastAsia" w:asciiTheme="minorEastAsia" w:hAnsiTheme="minorEastAsia" w:eastAsiaTheme="minorEastAsia" w:cstheme="minorEastAsia"/>
        </w:rPr>
      </w:pPr>
    </w:p>
    <w:p>
      <w:pPr>
        <w:spacing w:line="360" w:lineRule="auto"/>
        <w:rPr>
          <w:rFonts w:hint="eastAsia" w:asciiTheme="minorEastAsia" w:hAnsiTheme="minorEastAsia" w:eastAsiaTheme="minorEastAsia" w:cstheme="minorEastAsia"/>
        </w:rPr>
      </w:pPr>
    </w:p>
    <w:p>
      <w:pPr>
        <w:spacing w:line="360" w:lineRule="auto"/>
        <w:rPr>
          <w:rFonts w:hint="eastAsia" w:asciiTheme="minorEastAsia" w:hAnsiTheme="minorEastAsia" w:eastAsiaTheme="minorEastAsia" w:cstheme="minorEastAsia"/>
        </w:rPr>
      </w:pPr>
    </w:p>
    <w:p>
      <w:pPr>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4.筒述服务价值成长模式。</w:t>
      </w:r>
    </w:p>
    <w:p>
      <w:pPr>
        <w:spacing w:line="360" w:lineRule="auto"/>
        <w:rPr>
          <w:rFonts w:hint="eastAsia" w:asciiTheme="minorEastAsia" w:hAnsiTheme="minorEastAsia" w:eastAsiaTheme="minorEastAsia" w:cstheme="minorEastAsia"/>
          <w:b w:val="0"/>
          <w:bCs w:val="0"/>
          <w:lang w:val="en-US" w:eastAsia="zh-CN"/>
        </w:rPr>
      </w:pPr>
    </w:p>
    <w:p>
      <w:pPr>
        <w:spacing w:line="360" w:lineRule="auto"/>
        <w:rPr>
          <w:rFonts w:hint="eastAsia" w:asciiTheme="minorEastAsia" w:hAnsiTheme="minorEastAsia" w:eastAsiaTheme="minorEastAsia" w:cstheme="minorEastAsia"/>
          <w:b w:val="0"/>
          <w:bCs w:val="0"/>
          <w:lang w:val="en-US" w:eastAsia="zh-CN"/>
        </w:rPr>
      </w:pPr>
    </w:p>
    <w:p>
      <w:pPr>
        <w:spacing w:line="360" w:lineRule="auto"/>
        <w:rPr>
          <w:rFonts w:hint="eastAsia" w:asciiTheme="minorEastAsia" w:hAnsiTheme="minorEastAsia" w:eastAsiaTheme="minorEastAsia" w:cstheme="minorEastAsia"/>
          <w:b w:val="0"/>
          <w:bCs w:val="0"/>
          <w:lang w:val="en-US" w:eastAsia="zh-CN"/>
        </w:rPr>
      </w:pPr>
    </w:p>
    <w:p>
      <w:pPr>
        <w:spacing w:line="360" w:lineRule="auto"/>
        <w:rPr>
          <w:rFonts w:hint="eastAsia" w:asciiTheme="minorEastAsia" w:hAnsiTheme="minorEastAsia" w:eastAsiaTheme="minorEastAsia" w:cstheme="minorEastAsia"/>
          <w:b w:val="0"/>
          <w:bCs w:val="0"/>
          <w:lang w:val="en-US" w:eastAsia="zh-CN"/>
        </w:rPr>
      </w:pPr>
    </w:p>
    <w:p>
      <w:pPr>
        <w:spacing w:line="360" w:lineRule="auto"/>
        <w:rPr>
          <w:rFonts w:hint="eastAsia" w:asciiTheme="minorEastAsia" w:hAnsiTheme="minorEastAsia" w:eastAsiaTheme="minorEastAsia" w:cstheme="minorEastAsia"/>
          <w:b w:val="0"/>
          <w:bCs w:val="0"/>
          <w:lang w:val="en-US" w:eastAsia="zh-CN"/>
        </w:rPr>
      </w:pPr>
    </w:p>
    <w:p>
      <w:pPr>
        <w:spacing w:line="360" w:lineRule="auto"/>
        <w:rPr>
          <w:rFonts w:hint="eastAsia"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lang w:val="en-US" w:eastAsia="zh-CN"/>
        </w:rPr>
        <w:t>5.与制造商品牌相比，中间商品牌有哪些有利条件？</w:t>
      </w:r>
    </w:p>
    <w:p>
      <w:pPr>
        <w:spacing w:line="360" w:lineRule="auto"/>
        <w:rPr>
          <w:rFonts w:hint="eastAsia" w:asciiTheme="minorEastAsia" w:hAnsiTheme="minorEastAsia" w:eastAsiaTheme="minorEastAsia" w:cstheme="minorEastAsia"/>
        </w:rPr>
      </w:pPr>
    </w:p>
    <w:p>
      <w:pPr>
        <w:rPr>
          <w:rFonts w:hint="eastAsia" w:asciiTheme="majorEastAsia" w:hAnsiTheme="majorEastAsia" w:eastAsiaTheme="majorEastAsia" w:cstheme="majorEastAsia"/>
          <w:b/>
          <w:bCs/>
          <w:lang w:val="en-US" w:eastAsia="zh-CN"/>
        </w:rPr>
      </w:pPr>
    </w:p>
    <w:p>
      <w:pPr>
        <w:rPr>
          <w:rFonts w:hint="eastAsia" w:asciiTheme="majorEastAsia" w:hAnsiTheme="majorEastAsia" w:eastAsiaTheme="majorEastAsia" w:cstheme="majorEastAsia"/>
          <w:b/>
          <w:bCs/>
          <w:lang w:val="en-US" w:eastAsia="zh-CN"/>
        </w:rPr>
      </w:pPr>
    </w:p>
    <w:p>
      <w:pPr>
        <w:rPr>
          <w:rFonts w:hint="eastAsia" w:asciiTheme="majorEastAsia" w:hAnsiTheme="majorEastAsia" w:eastAsiaTheme="majorEastAsia" w:cstheme="majorEastAsia"/>
          <w:b/>
          <w:bCs/>
          <w:lang w:val="en-US" w:eastAsia="zh-CN"/>
        </w:rPr>
      </w:pPr>
    </w:p>
    <w:p>
      <w:pPr>
        <w:rPr>
          <w:rFonts w:hint="eastAsia" w:asciiTheme="majorEastAsia" w:hAnsiTheme="majorEastAsia" w:eastAsiaTheme="majorEastAsia" w:cstheme="majorEastAsia"/>
          <w:b/>
          <w:bCs/>
          <w:lang w:val="en-US" w:eastAsia="zh-CN"/>
        </w:rPr>
      </w:pPr>
    </w:p>
    <w:p>
      <w:pPr>
        <w:rPr>
          <w:rFonts w:hint="eastAsia" w:asciiTheme="majorEastAsia" w:hAnsiTheme="majorEastAsia" w:eastAsiaTheme="majorEastAsia" w:cstheme="majorEastAsia"/>
          <w:b/>
          <w:bCs/>
          <w:lang w:val="en-US" w:eastAsia="zh-CN"/>
        </w:rPr>
      </w:pPr>
    </w:p>
    <w:p>
      <w:pPr>
        <w:rPr>
          <w:rFonts w:hint="eastAsia" w:asciiTheme="majorEastAsia" w:hAnsiTheme="majorEastAsia" w:eastAsiaTheme="majorEastAsia" w:cstheme="majorEastAsia"/>
          <w:b/>
          <w:bCs/>
          <w:sz w:val="24"/>
          <w:szCs w:val="32"/>
        </w:rPr>
      </w:pPr>
      <w:r>
        <w:rPr>
          <w:rFonts w:hint="eastAsia" w:asciiTheme="majorEastAsia" w:hAnsiTheme="majorEastAsia" w:eastAsiaTheme="majorEastAsia" w:cstheme="majorEastAsia"/>
          <w:b/>
          <w:bCs/>
          <w:sz w:val="24"/>
          <w:szCs w:val="32"/>
          <w:lang w:val="en-US" w:eastAsia="zh-CN"/>
        </w:rPr>
        <w:t>四</w:t>
      </w:r>
      <w:r>
        <w:rPr>
          <w:rFonts w:hint="eastAsia" w:asciiTheme="majorEastAsia" w:hAnsiTheme="majorEastAsia" w:eastAsiaTheme="majorEastAsia" w:cstheme="majorEastAsia"/>
          <w:b/>
          <w:bCs/>
          <w:sz w:val="24"/>
          <w:szCs w:val="32"/>
        </w:rPr>
        <w:t>、案例分析题（30分）</w:t>
      </w:r>
    </w:p>
    <w:p>
      <w:pPr>
        <w:spacing w:line="360" w:lineRule="auto"/>
        <w:rPr>
          <w:rFonts w:hint="eastAsia"/>
          <w:sz w:val="21"/>
          <w:szCs w:val="21"/>
        </w:rPr>
      </w:pPr>
      <w:r>
        <w:rPr>
          <w:rFonts w:hint="eastAsia"/>
          <w:sz w:val="21"/>
          <w:szCs w:val="21"/>
        </w:rPr>
        <w:t>案例：康师傅的品牌价值</w:t>
      </w:r>
    </w:p>
    <w:p>
      <w:pPr>
        <w:spacing w:line="360" w:lineRule="auto"/>
        <w:rPr>
          <w:rFonts w:hint="eastAsia"/>
        </w:rPr>
      </w:pPr>
      <w:r>
        <w:rPr>
          <w:rFonts w:hint="eastAsia"/>
        </w:rPr>
        <w:t>康师傅控股有限公司（康师傅公司），总部设于中国天津市，主要在中国从事生产和销售方便而、饮品、糕饼以及相关配套产业的经营。</w:t>
      </w:r>
    </w:p>
    <w:p>
      <w:pPr>
        <w:spacing w:line="360" w:lineRule="auto"/>
        <w:rPr>
          <w:rFonts w:hint="eastAsia"/>
        </w:rPr>
      </w:pPr>
      <w:r>
        <w:rPr>
          <w:rFonts w:hint="eastAsia"/>
        </w:rPr>
        <w:t>康师傅（顶新集团）的前身原是1958年创立于台湾彰化的鼎新油厂，1974年更名为顶新制油公司，以生产工业用葛麻油为主。1988年，中国大陆实施改革开放政策，魏氏兄弟看到大陆前景广阔的市场，于是决定到大陆考察投资，从此四兄弟便踏上了一条箪路蓝缕的创业之路。集团创业初期，先后在北京、内蒙、济南等地区投资办厂，并推出了“顶好清香油”、“康莱蛋酥卷”等知名产品。但由于当时国内整体消费水平偏低，这些产品“叫好不叫座”，一度使公司在大陆的经营投资陷入困境。经过几年摸爬滚打取得的经验教训，以及对市场的冷静分析，直到91年底，魏氏兄弟决定投资方便食品。经过多方考察，选中了具有超前服务意识的“天津经济开发区”作为“康师傅”第一个生产基地。1992年7月18日，在全体员工努力拼搏及开发区政府的大力协助下，天津顶益国际食品有限公司正式投入运营，“康</w:t>
      </w:r>
    </w:p>
    <w:p>
      <w:pPr>
        <w:spacing w:line="360" w:lineRule="auto"/>
        <w:rPr>
          <w:rFonts w:hint="eastAsia"/>
        </w:rPr>
      </w:pPr>
      <w:r>
        <w:rPr>
          <w:rFonts w:hint="eastAsia"/>
        </w:rPr>
        <w:t>师傅”第一碗红烧牛肉而在天津开发区诞生了。从此“康师傅”方便而伴随着“香喷喷，好吃看得见”的承诺飞进了千家万户，一时间“康师傅”成为消费者心目中方便美食的代名词。在努力过程中，康师傅不断的实践理想，追求更高的目标，屡屡创新速食而新标杆，让更广大的顾客群众享受到物美质优、价钱公道的速食面, 康师傅已经成为速食而方面的一大品牌了。</w:t>
      </w:r>
    </w:p>
    <w:p>
      <w:pPr>
        <w:spacing w:line="360" w:lineRule="auto"/>
        <w:rPr>
          <w:rFonts w:hint="eastAsia"/>
        </w:rPr>
      </w:pPr>
      <w:r>
        <w:rPr>
          <w:rFonts w:hint="eastAsia"/>
        </w:rPr>
        <w:t>2011年11月，康师傅发布公告，宣布与百事公司达成协议，建立战略联盟。在双方的合作中，康师傅将获得百事在华的24家灌装厂资产，百事则获得康师傅旗下饮料业务子公司康师傅饮品控股5%股权，康师傅饮品控股则成为百事碳酸饮料的特许装瓶商，康师傅饮品控股还将获得百事旗下的纯果乐、佳得乐等非碳酸饮料业务的分销和生产，而康师傅饮品也将开始将其果汁产品在“纯果乐”产品之下进行联合经营，但是各自品牌不会发生变化。上述分销、生产方而的合作均于2050年底届满。来自康师傅的信息显示，消费者今后还可以喝到康师傅生产的可乐。</w:t>
      </w:r>
    </w:p>
    <w:p>
      <w:pPr>
        <w:spacing w:line="360" w:lineRule="auto"/>
        <w:rPr>
          <w:rFonts w:hint="eastAsia"/>
        </w:rPr>
      </w:pPr>
      <w:r>
        <w:rPr>
          <w:rFonts w:hint="eastAsia"/>
        </w:rPr>
        <w:t>康师傅中国市场占有率如下（截至2011年底ACNielsen数据）：</w:t>
      </w:r>
    </w:p>
    <w:p>
      <w:pPr>
        <w:numPr>
          <w:ilvl w:val="0"/>
          <w:numId w:val="3"/>
        </w:numPr>
        <w:spacing w:line="360" w:lineRule="auto"/>
        <w:rPr>
          <w:rFonts w:hint="eastAsia"/>
          <w:lang w:eastAsia="zh-CN"/>
        </w:rPr>
      </w:pPr>
      <w:r>
        <w:rPr>
          <w:rFonts w:hint="eastAsia"/>
        </w:rPr>
        <w:t>方便而，康师傅占有率为42%,统一占有率为14%,华龙为10%,福满多为8%,今麦郎为4. 4%, 其他占有率为11. 6%</w:t>
      </w:r>
      <w:r>
        <w:rPr>
          <w:rFonts w:hint="eastAsia"/>
          <w:lang w:eastAsia="zh-CN"/>
        </w:rPr>
        <w:t>。</w:t>
      </w:r>
    </w:p>
    <w:p>
      <w:pPr>
        <w:numPr>
          <w:ilvl w:val="0"/>
          <w:numId w:val="0"/>
        </w:numPr>
        <w:spacing w:line="360" w:lineRule="auto"/>
        <w:rPr>
          <w:rFonts w:hint="eastAsia" w:eastAsiaTheme="minorEastAsia"/>
          <w:lang w:eastAsia="zh-CN"/>
        </w:rPr>
      </w:pPr>
      <w:r>
        <w:rPr>
          <w:rFonts w:hint="eastAsia"/>
        </w:rPr>
        <w:t>（2）饮料，康师傅占有率为42. 3%,统一占有率为21. 41%,旭日升为13. 16%,三得利为8%,乐百氏为4. 4%,绿洲为1. 16%,天与地为1.01%,碧泉占有率为0. 73%</w:t>
      </w:r>
      <w:r>
        <w:rPr>
          <w:rFonts w:hint="eastAsia"/>
          <w:lang w:eastAsia="zh-CN"/>
        </w:rPr>
        <w:t>。</w:t>
      </w:r>
    </w:p>
    <w:p>
      <w:pPr>
        <w:spacing w:line="360" w:lineRule="auto"/>
        <w:rPr>
          <w:rFonts w:hint="eastAsia"/>
        </w:rPr>
      </w:pPr>
      <w:r>
        <w:rPr>
          <w:rFonts w:hint="eastAsia"/>
        </w:rPr>
        <w:t>（3）糕饼类，夹心饼干的占有率22%,位居第二；蛋酥卷的占有率为26. 4%,位居第一。</w:t>
      </w:r>
    </w:p>
    <w:p>
      <w:pPr>
        <w:spacing w:line="360" w:lineRule="auto"/>
        <w:rPr>
          <w:rFonts w:hint="eastAsia"/>
        </w:rPr>
      </w:pPr>
      <w:r>
        <w:rPr>
          <w:rFonts w:hint="eastAsia"/>
        </w:rPr>
        <w:t>根据上述案例，请回答：</w:t>
      </w:r>
    </w:p>
    <w:p>
      <w:pPr>
        <w:spacing w:line="360" w:lineRule="auto"/>
        <w:ind w:firstLine="210" w:firstLineChars="100"/>
        <w:rPr>
          <w:rFonts w:hint="eastAsia"/>
        </w:rPr>
      </w:pPr>
      <w:r>
        <w:rPr>
          <w:rFonts w:hint="eastAsia"/>
          <w:lang w:eastAsia="zh-CN"/>
        </w:rPr>
        <w:t>（</w:t>
      </w:r>
      <w:r>
        <w:rPr>
          <w:rFonts w:hint="eastAsia"/>
        </w:rPr>
        <w:t>1）品牌的价值是什么？（10分）</w:t>
      </w:r>
    </w:p>
    <w:p>
      <w:pPr>
        <w:spacing w:line="360" w:lineRule="auto"/>
        <w:ind w:firstLine="210" w:firstLineChars="100"/>
        <w:rPr>
          <w:rFonts w:hint="eastAsia"/>
        </w:rPr>
      </w:pPr>
      <w:r>
        <w:rPr>
          <w:rFonts w:hint="eastAsia"/>
          <w:lang w:eastAsia="zh-CN"/>
        </w:rPr>
        <w:t>（</w:t>
      </w:r>
      <w:bookmarkStart w:id="0" w:name="_GoBack"/>
      <w:bookmarkEnd w:id="0"/>
      <w:r>
        <w:rPr>
          <w:rFonts w:hint="eastAsia"/>
        </w:rPr>
        <w:t>2）请结合案例，根据现实中你了解的康师傅做一个SWOT分析。（20分）</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F681EC"/>
    <w:multiLevelType w:val="singleLevel"/>
    <w:tmpl w:val="24F681EC"/>
    <w:lvl w:ilvl="0" w:tentative="0">
      <w:start w:val="1"/>
      <w:numFmt w:val="chineseCounting"/>
      <w:suff w:val="nothing"/>
      <w:lvlText w:val="%1、"/>
      <w:lvlJc w:val="left"/>
      <w:rPr>
        <w:rFonts w:hint="eastAsia"/>
      </w:rPr>
    </w:lvl>
  </w:abstractNum>
  <w:abstractNum w:abstractNumId="1">
    <w:nsid w:val="36398F4A"/>
    <w:multiLevelType w:val="singleLevel"/>
    <w:tmpl w:val="36398F4A"/>
    <w:lvl w:ilvl="0" w:tentative="0">
      <w:start w:val="2"/>
      <w:numFmt w:val="decimal"/>
      <w:lvlText w:val="%1."/>
      <w:lvlJc w:val="left"/>
      <w:pPr>
        <w:tabs>
          <w:tab w:val="left" w:pos="312"/>
        </w:tabs>
      </w:pPr>
    </w:lvl>
  </w:abstractNum>
  <w:abstractNum w:abstractNumId="2">
    <w:nsid w:val="6695A73E"/>
    <w:multiLevelType w:val="singleLevel"/>
    <w:tmpl w:val="6695A73E"/>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YTc5M2VlODk2ZDVmMDE4ZjQzZTU0M2M4ODllZWUifQ=="/>
  </w:docVars>
  <w:rsids>
    <w:rsidRoot w:val="1C5A7EE5"/>
    <w:rsid w:val="1C5A7EE5"/>
    <w:rsid w:val="25C615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2109</Words>
  <Characters>2299</Characters>
  <Lines>0</Lines>
  <Paragraphs>0</Paragraphs>
  <TotalTime>4</TotalTime>
  <ScaleCrop>false</ScaleCrop>
  <LinksUpToDate>false</LinksUpToDate>
  <CharactersWithSpaces>2755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2023-06-08T09:21:00Z</dcterms:created>
  <dc:creator>LP</dc:creator>
  <cp:lastModifiedBy>Administrator</cp:lastModifiedBy>
  <dcterms:modified xsi:type="dcterms:W3CDTF">2023-06-29T01:29:14Z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FB0AA40F24C04E6AADDFA00017BBC594_11</vt:lpwstr>
  </property>
</Properties>
</file>