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w:t>
      </w:r>
      <w:r>
        <w:rPr>
          <w:rFonts w:hint="eastAsia" w:ascii="宋体" w:hAnsi="宋体" w:cs="宋体"/>
          <w:b/>
          <w:sz w:val="30"/>
          <w:szCs w:val="30"/>
          <w:lang w:val="en-US" w:eastAsia="zh-CN"/>
        </w:rPr>
        <w:t>23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cs="宋体"/>
          <w:b/>
          <w:sz w:val="24"/>
          <w:szCs w:val="24"/>
          <w:u w:val="single"/>
          <w:lang w:val="en-US" w:eastAsia="zh-CN"/>
        </w:rPr>
        <w:t>品牌管理</w:t>
      </w:r>
      <w:r>
        <w:rPr>
          <w:rFonts w:hint="eastAsia" w:ascii="宋体" w:hAnsi="宋体" w:eastAsia="宋体" w:cs="宋体"/>
          <w:b/>
          <w:sz w:val="24"/>
          <w:szCs w:val="24"/>
        </w:rPr>
        <w:t xml:space="preserve"> 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级工商企业管理</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cs="宋体"/>
          <w:b/>
          <w:sz w:val="24"/>
          <w:szCs w:val="24"/>
          <w:u w:val="single"/>
          <w:lang w:val="en-US" w:eastAsia="zh-CN"/>
        </w:rPr>
        <w:t>6</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tabs>
          <w:tab w:val="left" w:pos="0"/>
        </w:tabs>
        <w:spacing w:line="360" w:lineRule="auto"/>
        <w:jc w:val="left"/>
        <w:rPr>
          <w:rFonts w:hint="eastAsia" w:ascii="宋体" w:hAnsi="宋体" w:eastAsia="宋体" w:cs="宋体"/>
          <w:b/>
          <w:bCs/>
        </w:rPr>
      </w:pPr>
    </w:p>
    <w:p>
      <w:pPr>
        <w:numPr>
          <w:ilvl w:val="0"/>
          <w:numId w:val="0"/>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r>
        <w:rPr>
          <w:rStyle w:val="7"/>
          <w:rFonts w:hint="eastAsia" w:ascii="宋体" w:hAnsi="宋体" w:eastAsia="宋体" w:cs="宋体"/>
          <w:b/>
          <w:bCs/>
          <w:color w:val="000000"/>
          <w:sz w:val="24"/>
          <w:szCs w:val="24"/>
          <w:lang w:eastAsia="zh-CN"/>
        </w:rPr>
        <w:t>（</w:t>
      </w:r>
      <w:r>
        <w:rPr>
          <w:rStyle w:val="7"/>
          <w:rFonts w:hint="eastAsia" w:ascii="宋体" w:hAnsi="宋体" w:eastAsia="宋体" w:cs="宋体"/>
          <w:b/>
          <w:bCs/>
          <w:color w:val="000000"/>
          <w:sz w:val="24"/>
          <w:szCs w:val="24"/>
        </w:rPr>
        <w:t>每</w:t>
      </w:r>
      <w:r>
        <w:rPr>
          <w:rStyle w:val="7"/>
          <w:rFonts w:hint="eastAsia" w:ascii="宋体" w:hAnsi="宋体" w:eastAsia="宋体" w:cs="宋体"/>
          <w:b/>
          <w:bCs/>
          <w:color w:val="000000"/>
          <w:sz w:val="24"/>
          <w:szCs w:val="24"/>
          <w:lang w:eastAsia="zh-CN"/>
        </w:rPr>
        <w:t>小</w:t>
      </w:r>
      <w:r>
        <w:rPr>
          <w:rStyle w:val="7"/>
          <w:rFonts w:hint="eastAsia" w:ascii="宋体" w:hAnsi="宋体" w:eastAsia="宋体" w:cs="宋体"/>
          <w:b/>
          <w:bCs/>
          <w:color w:val="000000"/>
          <w:sz w:val="24"/>
          <w:szCs w:val="24"/>
        </w:rPr>
        <w:t>题2分，共</w:t>
      </w:r>
      <w:r>
        <w:rPr>
          <w:rStyle w:val="7"/>
          <w:rFonts w:hint="eastAsia" w:ascii="宋体" w:hAnsi="宋体" w:eastAsia="宋体" w:cs="宋体"/>
          <w:b/>
          <w:bCs/>
          <w:color w:val="000000"/>
          <w:sz w:val="24"/>
          <w:szCs w:val="24"/>
          <w:lang w:val="en-US" w:eastAsia="zh-CN"/>
        </w:rPr>
        <w:t>30</w:t>
      </w:r>
      <w:r>
        <w:rPr>
          <w:rStyle w:val="7"/>
          <w:rFonts w:hint="eastAsia" w:ascii="宋体" w:hAnsi="宋体" w:eastAsia="宋体" w:cs="宋体"/>
          <w:b/>
          <w:bCs/>
          <w:color w:val="000000"/>
          <w:sz w:val="24"/>
          <w:szCs w:val="24"/>
        </w:rPr>
        <w:t>分</w:t>
      </w:r>
      <w:r>
        <w:rPr>
          <w:rStyle w:val="7"/>
          <w:rFonts w:hint="eastAsia" w:ascii="宋体" w:hAnsi="宋体" w:eastAsia="宋体" w:cs="宋体"/>
          <w:b/>
          <w:bCs/>
          <w:color w:val="000000"/>
          <w:sz w:val="24"/>
          <w:szCs w:val="24"/>
          <w:lang w:eastAsia="zh-CN"/>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1、品牌内涵变化的第一阶段是</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A、标识阶段</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B、标识、传播和象征阶段</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C、品牌资产阶段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D、品牌体验阶段</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2、将品牌划分为地方品牌、国家品牌、国际品牌等是根据</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不同来划分的。</w:t>
      </w:r>
    </w:p>
    <w:p>
      <w:pPr>
        <w:pStyle w:val="4"/>
        <w:keepNext w:val="0"/>
        <w:keepLines w:val="0"/>
        <w:widowControl/>
        <w:suppressLineNumbers w:val="0"/>
        <w:spacing w:before="0" w:beforeAutospacing="1" w:after="0" w:afterAutospacing="1"/>
        <w:ind w:right="0"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A、品牌主体</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B、品牌产品生产经营所属环节 </w:t>
      </w:r>
    </w:p>
    <w:p>
      <w:pPr>
        <w:pStyle w:val="4"/>
        <w:keepNext w:val="0"/>
        <w:keepLines w:val="0"/>
        <w:widowControl/>
        <w:suppressLineNumbers w:val="0"/>
        <w:spacing w:before="0" w:beforeAutospacing="1" w:after="0" w:afterAutospacing="1"/>
        <w:ind w:right="0"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C、品牌市场占有空间范围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D、品牌自主性</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3、劳力士“高贵、成就、完美、优雅"的定位属于</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A、档次定位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B、差异化定位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C、经营理念定位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D、情感定位</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4、消费者在想起品牌时能够回想起的唯一品牌指的是品牌知名度中的</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A、品牌认知</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B、品牌首选</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C、品牌主导</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D、品牌回想</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5、品牌的产品识别的核心要素是</w:t>
      </w:r>
      <w:r>
        <w:rPr>
          <w:rFonts w:hint="eastAsia" w:asciiTheme="majorEastAsia" w:hAnsiTheme="majorEastAsia" w:eastAsiaTheme="majorEastAsia" w:cstheme="majorEastAsia"/>
          <w:sz w:val="21"/>
          <w:szCs w:val="21"/>
          <w:lang w:val="en-US" w:eastAsia="zh-CN"/>
        </w:rPr>
        <w:t>（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A、产品属性</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B、产品品质/价值</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C、产品用途</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D、产品范围</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6、“长安福特"品牌属于</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A、合作品牌</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B、中间商品牌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C、多品牌</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D、新品牌</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7、在下列品牌要素中，稳定性最强的是</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A、品牌标志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B、品牌口号</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C、品牌名称</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D、品牌标志物</w:t>
      </w:r>
    </w:p>
    <w:p>
      <w:pPr>
        <w:pStyle w:val="4"/>
        <w:keepNext w:val="0"/>
        <w:keepLines w:val="0"/>
        <w:widowControl/>
        <w:suppressLineNumbers w:val="0"/>
        <w:spacing w:before="0" w:beforeAutospacing="1" w:after="0" w:afterAutospacing="1"/>
        <w:ind w:left="0" w:right="0" w:firstLine="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8、护肤品品牌兰蔻的命名方式属于</w:t>
      </w:r>
      <w:r>
        <w:rPr>
          <w:rFonts w:hint="eastAsia" w:asciiTheme="majorEastAsia" w:hAnsiTheme="majorEastAsia" w:eastAsiaTheme="majorEastAsia" w:cstheme="majorEastAsia"/>
          <w:sz w:val="21"/>
          <w:szCs w:val="21"/>
          <w:lang w:val="en-US" w:eastAsia="zh-CN"/>
        </w:rPr>
        <w:t>（    ）。</w:t>
      </w:r>
    </w:p>
    <w:p>
      <w:pPr>
        <w:pStyle w:val="4"/>
        <w:keepNext w:val="0"/>
        <w:keepLines w:val="0"/>
        <w:widowControl/>
        <w:suppressLineNumbers w:val="0"/>
        <w:spacing w:before="0" w:beforeAutospacing="1" w:after="0" w:afterAutospacing="1"/>
        <w:ind w:right="0"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A、以姓氏人名命名</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B、自创命名</w:t>
      </w:r>
    </w:p>
    <w:p>
      <w:pPr>
        <w:pStyle w:val="4"/>
        <w:keepNext w:val="0"/>
        <w:keepLines w:val="0"/>
        <w:widowControl/>
        <w:suppressLineNumbers w:val="0"/>
        <w:spacing w:before="0" w:beforeAutospacing="1" w:after="0" w:afterAutospacing="1"/>
        <w:ind w:right="0"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C、以地域命名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D、以物名命名</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9、下列对于电视广告描述错误的是</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A、适宜做企业形象宣传广告</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B、成本低廉、延续时间长</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C、形象生动、感染力较强</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D、市场反应快，娱乐性强</w:t>
      </w:r>
    </w:p>
    <w:p>
      <w:pPr>
        <w:pStyle w:val="4"/>
        <w:keepNext w:val="0"/>
        <w:keepLines w:val="0"/>
        <w:widowControl/>
        <w:suppressLineNumbers w:val="0"/>
        <w:spacing w:before="0" w:beforeAutospacing="1" w:after="0" w:afterAutospacing="1" w:line="240" w:lineRule="auto"/>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10、将原产品的品牌名称毫无变动的运用到延伸产品上的延伸被称为</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line="240" w:lineRule="auto"/>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A、单一品牌延伸</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B、亲族品牌延伸</w:t>
      </w:r>
    </w:p>
    <w:p>
      <w:pPr>
        <w:pStyle w:val="4"/>
        <w:keepNext w:val="0"/>
        <w:keepLines w:val="0"/>
        <w:widowControl/>
        <w:suppressLineNumbers w:val="0"/>
        <w:spacing w:before="0" w:beforeAutospacing="1" w:after="0" w:afterAutospacing="1" w:line="240" w:lineRule="auto"/>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C、主副品牌延伸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D、以上都属于</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11、被称为“沉默的推销员”是品牌的</w:t>
      </w:r>
      <w:r>
        <w:rPr>
          <w:rFonts w:hint="eastAsia" w:asciiTheme="majorEastAsia" w:hAnsiTheme="majorEastAsia" w:eastAsiaTheme="majorEastAsia" w:cstheme="majorEastAsia"/>
          <w:sz w:val="21"/>
          <w:szCs w:val="21"/>
          <w:lang w:val="en-US" w:eastAsia="zh-CN"/>
        </w:rPr>
        <w:t>（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A、名称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B、广告</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C、包装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D、图案</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12、下列造成的品牌危机原因中，不属于品牌策略因素的是</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A、盲目延伸</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B、定位失误</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C、产品无差异化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D、产品质量因素</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13、世界上最著名的品牌资产评估公司是</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A、浪涛公司</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B、Interbrand（英特品)公司</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C、麦肯锡公司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D、美国整体研究公司</w:t>
      </w:r>
    </w:p>
    <w:p>
      <w:pPr>
        <w:pStyle w:val="4"/>
        <w:keepNext w:val="0"/>
        <w:keepLines w:val="0"/>
        <w:widowControl/>
        <w:suppressLineNumbers w:val="0"/>
        <w:spacing w:before="0" w:beforeAutospacing="1" w:after="0" w:afterAutospacing="1" w:line="360" w:lineRule="auto"/>
        <w:ind w:left="0" w:right="0"/>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14、在品牌国际化战略中，将目标国视为一个完全相同的市场,所有的营销组合要素中,除必要的战术调整外，实行统一化的战略,这样的战略属于</w:t>
      </w:r>
      <w:r>
        <w:rPr>
          <w:rFonts w:hint="eastAsia" w:asciiTheme="majorEastAsia" w:hAnsiTheme="majorEastAsia" w:eastAsiaTheme="majorEastAsia" w:cstheme="majorEastAsia"/>
          <w:sz w:val="21"/>
          <w:szCs w:val="21"/>
          <w:lang w:val="en-US" w:eastAsia="zh-CN"/>
        </w:rPr>
        <w:t>（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A、个别化战略</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B、差异化战略</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C、本土化战略</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D、标准化战略</w:t>
      </w:r>
    </w:p>
    <w:p>
      <w:pPr>
        <w:pStyle w:val="4"/>
        <w:keepNext w:val="0"/>
        <w:keepLines w:val="0"/>
        <w:widowControl/>
        <w:suppressLineNumbers w:val="0"/>
        <w:spacing w:before="0" w:beforeAutospacing="1" w:after="0" w:afterAutospacing="1" w:line="360" w:lineRule="auto"/>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的出现,使企业管理包括品牌管理由传统的直觉与经验型管理向科学管理转变，从而提高了企业的管理水平。</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A、激励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B、职能管理制</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C、人性管理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D、品牌经理制</w:t>
      </w:r>
    </w:p>
    <w:p>
      <w:pPr>
        <w:rPr>
          <w:rFonts w:hint="eastAsia" w:asciiTheme="majorEastAsia" w:hAnsiTheme="majorEastAsia" w:eastAsiaTheme="majorEastAsia" w:cstheme="majorEastAsia"/>
          <w:b/>
          <w:bCs/>
          <w:sz w:val="24"/>
          <w:szCs w:val="32"/>
          <w:lang w:val="en-US" w:eastAsia="zh-CN"/>
        </w:rPr>
      </w:pPr>
      <w:r>
        <w:rPr>
          <w:rFonts w:hint="eastAsia" w:asciiTheme="majorEastAsia" w:hAnsiTheme="majorEastAsia" w:eastAsiaTheme="majorEastAsia" w:cstheme="majorEastAsia"/>
          <w:b/>
          <w:bCs/>
          <w:sz w:val="24"/>
          <w:szCs w:val="32"/>
          <w:lang w:val="en-US" w:eastAsia="zh-CN"/>
        </w:rPr>
        <w:t>二、判断题（每小题2分，共20分）</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1、商标即品牌，品牌即商标。（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2、个别品牌名称的好处是节省费用。（</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3、驰名商标必须经权威机构予以确认，但无需向社会公众进行公告</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4、所谓品牌化决策是决定企业要不要使用品牌的决策。（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5、品牌定位是由内而外的,品牌的形式是由外而内的。（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6、各国目前对以地名作为品牌名的做法都存在不同程度的限制</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7、在品牌延伸时，应该充分考虑各类市场的兼容性问题。（</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8、品牌旗下的产品众多时,不宜突出具体产品的属性或特色。（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9、品牌危机的可预见性非常强，因此企业只要加强对品牌的监控，就可以避免出现品牌危机，伤害品牌</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 xml:space="preserve"> (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10、品牌资产是一种具有增值性的有形资产</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三、名词解释</w:t>
      </w:r>
      <w:r>
        <w:rPr>
          <w:rFonts w:hint="eastAsia" w:ascii="宋体" w:hAnsi="宋体" w:eastAsia="宋体" w:cs="宋体"/>
          <w:b/>
          <w:bCs/>
          <w:sz w:val="24"/>
          <w:szCs w:val="24"/>
        </w:rPr>
        <w:t>（</w:t>
      </w:r>
      <w:r>
        <w:rPr>
          <w:rFonts w:hint="eastAsia" w:ascii="宋体" w:hAnsi="宋体" w:eastAsia="宋体" w:cs="宋体"/>
          <w:b/>
          <w:bCs/>
          <w:sz w:val="24"/>
          <w:szCs w:val="24"/>
          <w:lang w:eastAsia="zh-CN"/>
        </w:rPr>
        <w:t>每小题</w:t>
      </w:r>
      <w:r>
        <w:rPr>
          <w:rFonts w:hint="eastAsia" w:ascii="宋体" w:hAnsi="宋体" w:eastAsia="宋体" w:cs="宋体"/>
          <w:b/>
          <w:sz w:val="24"/>
          <w:szCs w:val="24"/>
          <w:lang w:val="en-US" w:eastAsia="zh-CN"/>
        </w:rPr>
        <w:t>4</w:t>
      </w:r>
      <w:r>
        <w:rPr>
          <w:rFonts w:hint="eastAsia" w:ascii="宋体" w:hAnsi="宋体" w:eastAsia="宋体" w:cs="宋体"/>
          <w:b/>
          <w:sz w:val="24"/>
          <w:szCs w:val="24"/>
        </w:rPr>
        <w:t>分， 共</w:t>
      </w:r>
      <w:r>
        <w:rPr>
          <w:rFonts w:hint="eastAsia" w:ascii="宋体" w:hAnsi="宋体" w:eastAsia="宋体" w:cs="宋体"/>
          <w:b/>
          <w:sz w:val="24"/>
          <w:szCs w:val="24"/>
          <w:lang w:val="en-US" w:eastAsia="zh-CN"/>
        </w:rPr>
        <w:t>20</w:t>
      </w:r>
      <w:r>
        <w:rPr>
          <w:rFonts w:hint="eastAsia" w:ascii="宋体" w:hAnsi="宋体" w:eastAsia="宋体" w:cs="宋体"/>
          <w:b/>
          <w:sz w:val="24"/>
          <w:szCs w:val="24"/>
        </w:rPr>
        <w:t>分</w:t>
      </w:r>
      <w:r>
        <w:rPr>
          <w:rFonts w:hint="eastAsia" w:ascii="宋体" w:hAnsi="宋体" w:eastAsia="宋体" w:cs="宋体"/>
          <w:b/>
          <w:bCs/>
          <w:sz w:val="24"/>
          <w:szCs w:val="24"/>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1、品牌管理</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numPr>
          <w:ilvl w:val="0"/>
          <w:numId w:val="1"/>
        </w:numPr>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品牌定位</w:t>
      </w:r>
    </w:p>
    <w:p>
      <w:pPr>
        <w:pStyle w:val="4"/>
        <w:keepNext w:val="0"/>
        <w:keepLines w:val="0"/>
        <w:widowControl/>
        <w:numPr>
          <w:ilvl w:val="0"/>
          <w:numId w:val="0"/>
        </w:numPr>
        <w:suppressLineNumbers w:val="0"/>
        <w:spacing w:before="0" w:beforeAutospacing="1" w:after="0" w:afterAutospacing="1"/>
        <w:ind w:right="0" w:rightChars="0"/>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rPr>
          <w:rFonts w:hint="eastAsia" w:asciiTheme="majorEastAsia" w:hAnsiTheme="majorEastAsia" w:eastAsiaTheme="majorEastAsia" w:cstheme="majorEastAsia"/>
          <w:sz w:val="21"/>
          <w:szCs w:val="21"/>
        </w:rPr>
      </w:pPr>
    </w:p>
    <w:p>
      <w:pPr>
        <w:pStyle w:val="4"/>
        <w:keepNext w:val="0"/>
        <w:keepLines w:val="0"/>
        <w:widowControl/>
        <w:numPr>
          <w:ilvl w:val="0"/>
          <w:numId w:val="1"/>
        </w:numPr>
        <w:suppressLineNumbers w:val="0"/>
        <w:spacing w:before="0" w:beforeAutospacing="1" w:after="0" w:afterAutospacing="1"/>
        <w:ind w:left="0" w:leftChars="0" w:right="0" w:firstLine="0"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品牌延伸</w:t>
      </w:r>
    </w:p>
    <w:p>
      <w:pPr>
        <w:pStyle w:val="4"/>
        <w:keepNext w:val="0"/>
        <w:keepLines w:val="0"/>
        <w:widowControl/>
        <w:numPr>
          <w:ilvl w:val="0"/>
          <w:numId w:val="0"/>
        </w:numPr>
        <w:suppressLineNumbers w:val="0"/>
        <w:spacing w:before="0" w:beforeAutospacing="1" w:after="0" w:afterAutospacing="1"/>
        <w:ind w:leftChars="0" w:right="0" w:rightChars="0"/>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leftChars="0" w:right="0" w:rightChars="0"/>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leftChars="0" w:right="0" w:rightChars="0"/>
        <w:rPr>
          <w:rFonts w:hint="eastAsia" w:asciiTheme="majorEastAsia" w:hAnsiTheme="majorEastAsia" w:eastAsiaTheme="majorEastAsia" w:cstheme="majorEastAsia"/>
          <w:sz w:val="21"/>
          <w:szCs w:val="21"/>
        </w:rPr>
      </w:pPr>
    </w:p>
    <w:p>
      <w:pPr>
        <w:pStyle w:val="4"/>
        <w:keepNext w:val="0"/>
        <w:keepLines w:val="0"/>
        <w:widowControl/>
        <w:numPr>
          <w:ilvl w:val="0"/>
          <w:numId w:val="1"/>
        </w:numPr>
        <w:suppressLineNumbers w:val="0"/>
        <w:spacing w:before="0" w:beforeAutospacing="1" w:after="0" w:afterAutospacing="1"/>
        <w:ind w:left="0" w:leftChars="0" w:right="0" w:firstLine="0"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个别品牌</w:t>
      </w: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1"/>
        </w:numPr>
        <w:suppressLineNumbers w:val="0"/>
        <w:spacing w:before="0" w:beforeAutospacing="1" w:after="0" w:afterAutospacing="1"/>
        <w:ind w:left="0" w:leftChars="0" w:right="0" w:firstLine="0"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品牌保护</w:t>
      </w: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简答</w:t>
      </w:r>
      <w:r>
        <w:rPr>
          <w:rFonts w:hint="eastAsia" w:ascii="宋体" w:hAnsi="宋体" w:eastAsia="宋体" w:cs="宋体"/>
          <w:b/>
          <w:bCs/>
          <w:sz w:val="24"/>
          <w:szCs w:val="24"/>
        </w:rPr>
        <w:t>题（</w:t>
      </w:r>
      <w:r>
        <w:rPr>
          <w:rFonts w:hint="eastAsia" w:ascii="宋体" w:hAnsi="宋体" w:eastAsia="宋体" w:cs="宋体"/>
          <w:b/>
          <w:bCs/>
          <w:sz w:val="24"/>
          <w:szCs w:val="24"/>
          <w:lang w:eastAsia="zh-CN"/>
        </w:rPr>
        <w:t>每小题</w:t>
      </w:r>
      <w:r>
        <w:rPr>
          <w:rFonts w:hint="eastAsia" w:ascii="宋体" w:hAnsi="宋体" w:eastAsia="宋体" w:cs="宋体"/>
          <w:b/>
          <w:sz w:val="24"/>
          <w:szCs w:val="24"/>
          <w:lang w:val="en-US" w:eastAsia="zh-CN"/>
        </w:rPr>
        <w:t>5</w:t>
      </w:r>
      <w:r>
        <w:rPr>
          <w:rFonts w:hint="eastAsia" w:ascii="宋体" w:hAnsi="宋体" w:eastAsia="宋体" w:cs="宋体"/>
          <w:b/>
          <w:sz w:val="24"/>
          <w:szCs w:val="24"/>
        </w:rPr>
        <w:t>分， 共</w:t>
      </w:r>
      <w:r>
        <w:rPr>
          <w:rFonts w:hint="eastAsia" w:ascii="宋体" w:hAnsi="宋体" w:eastAsia="宋体" w:cs="宋体"/>
          <w:b/>
          <w:sz w:val="24"/>
          <w:szCs w:val="24"/>
          <w:lang w:val="en-US" w:eastAsia="zh-CN"/>
        </w:rPr>
        <w:t>20</w:t>
      </w:r>
      <w:r>
        <w:rPr>
          <w:rFonts w:hint="eastAsia" w:ascii="宋体" w:hAnsi="宋体" w:eastAsia="宋体" w:cs="宋体"/>
          <w:b/>
          <w:sz w:val="24"/>
          <w:szCs w:val="24"/>
        </w:rPr>
        <w:t>分</w:t>
      </w:r>
      <w:r>
        <w:rPr>
          <w:rFonts w:hint="eastAsia" w:ascii="宋体" w:hAnsi="宋体" w:eastAsia="宋体" w:cs="宋体"/>
          <w:b/>
          <w:bCs/>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品牌的含义是什么？品牌具有哪些功能？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pStyle w:val="4"/>
        <w:keepNext w:val="0"/>
        <w:keepLines w:val="0"/>
        <w:widowControl/>
        <w:numPr>
          <w:ilvl w:val="0"/>
          <w:numId w:val="3"/>
        </w:numPr>
        <w:suppressLineNumbers w:val="0"/>
        <w:spacing w:before="0" w:beforeAutospacing="1" w:after="0" w:afterAutospacing="1"/>
        <w:ind w:left="0" w:leftChars="0" w:right="0" w:firstLine="0"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多品牌策略的优点以及缺点有哪些？</w:t>
      </w: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3、品牌设计应该遵循的一般性原则有哪些？</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4、为什么要进行品牌国际化？</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b/>
          <w:bCs/>
          <w:sz w:val="24"/>
          <w:szCs w:val="24"/>
          <w:lang w:eastAsia="zh-CN"/>
        </w:rPr>
      </w:pPr>
      <w:bookmarkStart w:id="0" w:name="_GoBack"/>
      <w:r>
        <w:rPr>
          <w:rFonts w:hint="eastAsia" w:asciiTheme="minorEastAsia" w:hAnsiTheme="minorEastAsia" w:eastAsiaTheme="minorEastAsia" w:cstheme="minorEastAsia"/>
          <w:b/>
          <w:bCs/>
          <w:sz w:val="24"/>
          <w:szCs w:val="24"/>
          <w:lang w:val="en-US" w:eastAsia="zh-CN"/>
        </w:rPr>
        <w:t>五</w:t>
      </w:r>
      <w:r>
        <w:rPr>
          <w:rFonts w:hint="eastAsia" w:asciiTheme="minorEastAsia" w:hAnsiTheme="minorEastAsia" w:eastAsiaTheme="minorEastAsia" w:cstheme="minorEastAsia"/>
          <w:b/>
          <w:bCs/>
          <w:sz w:val="24"/>
          <w:szCs w:val="24"/>
        </w:rPr>
        <w:t>、案例分析</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lang w:val="en-US" w:eastAsia="zh-CN"/>
        </w:rPr>
        <w:t>每小题10分，共10分</w:t>
      </w:r>
      <w:r>
        <w:rPr>
          <w:rFonts w:hint="eastAsia" w:asciiTheme="minorEastAsia" w:hAnsiTheme="minorEastAsia" w:eastAsiaTheme="minorEastAsia" w:cstheme="minorEastAsia"/>
          <w:b/>
          <w:bCs/>
          <w:sz w:val="24"/>
          <w:szCs w:val="24"/>
          <w:lang w:eastAsia="zh-CN"/>
        </w:rPr>
        <w:t>）</w:t>
      </w:r>
    </w:p>
    <w:bookmarkEnd w:id="0"/>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可口可乐配方改动失败</w:t>
      </w:r>
    </w:p>
    <w:p>
      <w:pPr>
        <w:pStyle w:val="4"/>
        <w:keepNext w:val="0"/>
        <w:keepLines w:val="0"/>
        <w:widowControl/>
        <w:suppressLineNumbers w:val="0"/>
        <w:spacing w:before="0" w:beforeAutospacing="1" w:after="0" w:afterAutospacing="1" w:line="360" w:lineRule="auto"/>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20世纪80年代中期，百事可乐通过“百事挑战”促销向可口可乐发动了攻势，发端于德克萨斯的促销活动涉及顾客对这两种可乐的口感评价,结果是百事可乐取胜.为此，可口可乐决定改变配方，让新口感接近百事可乐，可口可乐对19万饮料消费者进行了新配方和新口感的市场调研，调研结果是:绝大多数消费者更喜爱新配方和新口感,可口可乐据此大力推广这种新配方和新口感的可乐。但新可乐的推出出乎意料地失败了，它遭到了可口可乐消费者的反对。有人组织了一个“美国可口可乐消费者协会”,通过电话热线收集消费者反对新配方的呼声。大量的消费者还向可口可乐公司总部去信、打电话，谴责新配方的推出，在消费者的一片反对声中,可口可乐的销售连续下跌好几个月。最后，可口可乐公司不得不在推出新配方可乐的同时重新恢复老配方可乐的销售。</w:t>
      </w:r>
    </w:p>
    <w:p>
      <w:pPr>
        <w:pStyle w:val="4"/>
        <w:keepNext w:val="0"/>
        <w:keepLines w:val="0"/>
        <w:widowControl/>
        <w:suppressLineNumbers w:val="0"/>
        <w:spacing w:before="0" w:beforeAutospacing="1" w:after="0" w:afterAutospacing="1"/>
        <w:ind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问:请分析可口可乐公司改动配方案失败的原因？</w:t>
      </w:r>
    </w:p>
    <w:p>
      <w:pPr>
        <w:pStyle w:val="4"/>
        <w:keepNext w:val="0"/>
        <w:keepLines w:val="0"/>
        <w:widowControl/>
        <w:suppressLineNumbers w:val="0"/>
        <w:spacing w:before="0" w:beforeAutospacing="1" w:after="0" w:afterAutospacing="1"/>
        <w:ind w:right="0"/>
        <w:rPr>
          <w:rFonts w:hint="eastAsia" w:asciiTheme="majorEastAsia" w:hAnsiTheme="majorEastAsia" w:eastAsiaTheme="majorEastAsia" w:cstheme="majorEastAsia"/>
          <w:sz w:val="21"/>
          <w:szCs w:val="21"/>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E27CA"/>
    <w:multiLevelType w:val="singleLevel"/>
    <w:tmpl w:val="BE6E27CA"/>
    <w:lvl w:ilvl="0" w:tentative="0">
      <w:start w:val="2"/>
      <w:numFmt w:val="decimal"/>
      <w:suff w:val="nothing"/>
      <w:lvlText w:val="%1、"/>
      <w:lvlJc w:val="left"/>
    </w:lvl>
  </w:abstractNum>
  <w:abstractNum w:abstractNumId="1">
    <w:nsid w:val="DF524D44"/>
    <w:multiLevelType w:val="singleLevel"/>
    <w:tmpl w:val="DF524D44"/>
    <w:lvl w:ilvl="0" w:tentative="0">
      <w:start w:val="4"/>
      <w:numFmt w:val="chineseCounting"/>
      <w:suff w:val="nothing"/>
      <w:lvlText w:val="%1、"/>
      <w:lvlJc w:val="left"/>
      <w:rPr>
        <w:rFonts w:hint="eastAsia"/>
      </w:rPr>
    </w:lvl>
  </w:abstractNum>
  <w:abstractNum w:abstractNumId="2">
    <w:nsid w:val="72A53546"/>
    <w:multiLevelType w:val="singleLevel"/>
    <w:tmpl w:val="72A53546"/>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425B6803"/>
    <w:rsid w:val="033333FF"/>
    <w:rsid w:val="06C7493F"/>
    <w:rsid w:val="1A7D21B3"/>
    <w:rsid w:val="2E6218F4"/>
    <w:rsid w:val="41482FEE"/>
    <w:rsid w:val="425B6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1756</Words>
  <Characters>1825</Characters>
  <Lines>0</Lines>
  <Paragraphs>0</Paragraphs>
  <TotalTime>9</TotalTime>
  <ScaleCrop>false</ScaleCrop>
  <LinksUpToDate>false</LinksUpToDate>
  <CharactersWithSpaces>2577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2023-06-07T01:51:00Z</dcterms:created>
  <dc:creator>LP</dc:creator>
  <cp:lastModifiedBy>Administrator</cp:lastModifiedBy>
  <dcterms:modified xsi:type="dcterms:W3CDTF">2023-06-28T07:39:21Z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F02FFD3C8B3247D78A72F369B6AF18B4_13</vt:lpwstr>
  </property>
</Properties>
</file>