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610"/>
        </w:tabs>
        <w:ind w:firstLine="103" w:firstLineChars="49"/>
        <w:rPr>
          <w:rFonts w:hint="eastAsia"/>
          <w:b/>
        </w:rPr>
      </w:pPr>
    </w:p>
    <w:p>
      <w:pPr>
        <w:tabs>
          <w:tab w:val="left" w:pos="8610"/>
        </w:tabs>
        <w:ind w:firstLine="103" w:firstLineChars="49"/>
        <w:rPr>
          <w:b/>
        </w:rPr>
      </w:pPr>
    </w:p>
    <w:p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o:spt="1" style="position:absolute;left:0pt;margin-left:-151.35pt;margin-top:5.55pt;height:728.65pt;width:118.55pt;z-index:251659264;mso-width-relative:page;mso-height-relative:page;" o:preferrelative="t" stroked="f" coordsize="21600,21600">
            <v:path/>
            <v:fill focussize="0,0"/>
            <v:stroke on="f"/>
            <v:imagedata o:title=""/>
            <o:lock v:ext="edit"/>
            <v:textbox style="layout-flow:vertical;mso-layout-flow-alt:bottom-to-top;">
              <w:txbxContent>
                <w:p>
                  <w:r>
                    <w:rPr>
                      <w:rFonts w:hint="eastAsia"/>
                    </w:rPr>
                    <w:t xml:space="preserve"> </w:t>
                  </w:r>
                  <w:r>
                    <w:pict>
                      <v:shape id="_x0000_i1025" o:spt="75" type="#_x0000_t75" style="height:687.25pt;width:69.2pt;" filled="f" o:preferrelative="t" stroked="f" coordsize="21600,21600">
                        <v:path/>
                        <v:fill on="f" focussize="0,0"/>
                        <v:stroke on="f" joinstyle="miter"/>
                        <v:imagedata r:id="rId6" o:title=""/>
                        <o:lock v:ext="edit" aspectratio="t"/>
                        <w10:wrap type="none"/>
                        <w10:anchorlock/>
                      </v:shape>
                    </w:pict>
                  </w:r>
                </w:p>
                <w:p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hint="eastAsia" w:ascii="宋体" w:hAnsi="宋体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hint="eastAsia" w:ascii="宋体" w:hAnsi="宋体"/>
                      <w:b/>
                      <w:szCs w:val="21"/>
                    </w:rPr>
                    <w:t>（装订线外请不要答题）</w:t>
                  </w:r>
                </w:p>
                <w:p/>
              </w:txbxContent>
            </v:textbox>
          </v:rect>
        </w:pict>
      </w:r>
      <w:r>
        <w:rPr>
          <w:rFonts w:hint="eastAsia"/>
          <w:b/>
          <w:sz w:val="28"/>
          <w:szCs w:val="28"/>
        </w:rPr>
        <w:t xml:space="preserve">   广州南洋理工职业学院成人教育202</w:t>
      </w:r>
      <w:r>
        <w:rPr>
          <w:rFonts w:hint="eastAsia"/>
          <w:b/>
          <w:sz w:val="28"/>
          <w:szCs w:val="28"/>
          <w:lang w:val="en-US" w:eastAsia="zh-CN"/>
        </w:rPr>
        <w:t>3</w:t>
      </w:r>
      <w:r>
        <w:rPr>
          <w:rFonts w:hint="eastAsia"/>
          <w:b/>
          <w:sz w:val="28"/>
          <w:szCs w:val="28"/>
        </w:rPr>
        <w:t>级第</w:t>
      </w:r>
      <w:r>
        <w:rPr>
          <w:rFonts w:hint="eastAsia"/>
          <w:b/>
          <w:sz w:val="28"/>
          <w:szCs w:val="28"/>
          <w:lang w:eastAsia="zh-CN"/>
        </w:rPr>
        <w:t>一</w:t>
      </w:r>
      <w:r>
        <w:rPr>
          <w:rFonts w:hint="eastAsia"/>
          <w:b/>
          <w:sz w:val="28"/>
          <w:szCs w:val="28"/>
        </w:rPr>
        <w:t>学期期末考试</w:t>
      </w:r>
    </w:p>
    <w:p>
      <w:pPr>
        <w:ind w:firstLine="165" w:firstLineChars="49"/>
        <w:rPr>
          <w:rFonts w:ascii="黑体" w:eastAsia="黑体"/>
          <w:b/>
          <w:w w:val="120"/>
          <w:sz w:val="28"/>
          <w:szCs w:val="28"/>
        </w:rPr>
      </w:pPr>
      <w:r>
        <w:rPr>
          <w:rFonts w:hint="eastAsia" w:ascii="黑体" w:eastAsia="黑体"/>
          <w:b/>
          <w:w w:val="120"/>
          <w:sz w:val="28"/>
          <w:szCs w:val="28"/>
        </w:rPr>
        <w:t xml:space="preserve">          </w:t>
      </w:r>
      <w:r>
        <w:rPr>
          <w:rFonts w:hint="eastAsia" w:ascii="黑体" w:eastAsia="黑体"/>
          <w:b/>
          <w:w w:val="120"/>
          <w:sz w:val="28"/>
          <w:szCs w:val="28"/>
          <w:lang w:val="en-US" w:eastAsia="zh-CN"/>
        </w:rPr>
        <w:t xml:space="preserve">     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《</w:t>
      </w:r>
      <w:r>
        <w:rPr>
          <w:rFonts w:hint="eastAsia" w:ascii="黑体" w:eastAsia="黑体"/>
          <w:b/>
          <w:w w:val="120"/>
          <w:sz w:val="28"/>
          <w:szCs w:val="28"/>
          <w:u w:val="single"/>
          <w:lang w:eastAsia="zh-CN"/>
        </w:rPr>
        <w:t>会计基础</w:t>
      </w:r>
      <w:r>
        <w:rPr>
          <w:rFonts w:hint="eastAsia" w:ascii="黑体" w:eastAsia="黑体"/>
          <w:b/>
          <w:w w:val="120"/>
          <w:sz w:val="28"/>
          <w:szCs w:val="28"/>
          <w:u w:val="single"/>
        </w:rPr>
        <w:t>》</w:t>
      </w:r>
      <w:r>
        <w:rPr>
          <w:rFonts w:hint="eastAsia" w:ascii="黑体" w:eastAsia="黑体"/>
          <w:b/>
          <w:sz w:val="30"/>
          <w:szCs w:val="30"/>
          <w:u w:val="single"/>
        </w:rPr>
        <w:t xml:space="preserve"> </w:t>
      </w:r>
      <w:r>
        <w:rPr>
          <w:rFonts w:hint="eastAsia" w:ascii="黑体" w:eastAsia="黑体"/>
          <w:b/>
          <w:sz w:val="30"/>
          <w:szCs w:val="30"/>
        </w:rPr>
        <w:t xml:space="preserve"> A卷</w:t>
      </w:r>
    </w:p>
    <w:p>
      <w:pPr>
        <w:ind w:firstLine="103" w:firstLineChars="49"/>
      </w:pPr>
      <w:r>
        <w:rPr>
          <w:rFonts w:hint="eastAsia"/>
          <w:b/>
        </w:rPr>
        <w:t>注意事项：</w:t>
      </w:r>
      <w:r>
        <w:rPr>
          <w:rFonts w:hint="eastAsia"/>
        </w:rPr>
        <w:t>1.所有答案请直接答在试卷上；</w:t>
      </w:r>
    </w:p>
    <w:p>
      <w:r>
        <w:rPr>
          <w:rFonts w:hint="eastAsia"/>
        </w:rPr>
        <w:t xml:space="preserve">           2.考前请将密封线内容填写清楚；</w:t>
      </w:r>
    </w:p>
    <w:p>
      <w:r>
        <w:rPr>
          <w:rFonts w:hint="eastAsia"/>
        </w:rPr>
        <w:t xml:space="preserve">           3.考试形式：闭卷</w:t>
      </w:r>
    </w:p>
    <w:tbl>
      <w:tblPr>
        <w:tblStyle w:val="10"/>
        <w:tblpPr w:leftFromText="180" w:rightFromText="180" w:vertAnchor="text" w:horzAnchor="page" w:tblpX="4539" w:tblpY="88"/>
        <w:tblOverlap w:val="never"/>
        <w:tblW w:w="62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893"/>
        <w:gridCol w:w="911"/>
        <w:gridCol w:w="923"/>
        <w:gridCol w:w="974"/>
        <w:gridCol w:w="1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3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一</w:t>
            </w: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069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 xml:space="preserve">                      </w:t>
      </w:r>
    </w:p>
    <w:p>
      <w:pPr>
        <w:rPr>
          <w:rFonts w:ascii="宋体" w:hAnsi="宋体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400" w:lineRule="exact"/>
        <w:rPr>
          <w:rFonts w:ascii="宋体" w:hAnsi="宋体" w:cs="宋体"/>
          <w:kern w:val="0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一、单项选择（下列选项中只有一个答案是最准确的。每小题2分，共30分）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bookmarkStart w:id="0" w:name="_GoBack"/>
      <w:r>
        <w:rPr>
          <w:rFonts w:hint="eastAsia" w:ascii="宋体" w:hAnsi="宋体" w:cs="宋体"/>
          <w:b w:val="0"/>
          <w:bCs w:val="0"/>
          <w:sz w:val="24"/>
          <w:szCs w:val="24"/>
        </w:rPr>
        <w:t>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下列项目中，属于流动资产的是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存货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预收账款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固定资产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资本公积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“应付账款账户期初贷方余额8000元，本期借方发生额14000元，本期贷方发生额12000元。则该账户的期末余额为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2000元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4000元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6000元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10000元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借贷记账法下，下列账户的借方应登记增加金额的是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“实收资本”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“库存商品”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“短期借款”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“应付工资薪酬”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负债按照约定期限偿还，所依据的会计核算基本前提是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会计主体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持续经营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会计分期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货币计量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5、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在我国会计规范体系中处于最高层次的是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会计法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总会计师条例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企业会计准则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企业会计制度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6、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按来源来分，购进货物取得的发票属于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自制原始凭证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专用原始凭证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通用原始凭证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外来原始凭证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7、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某公司期末资产总额100万元、负债总额60万元，则该公司期末所有者权益总额应为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40万元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60万元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100万元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160万元</w:t>
      </w: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8、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“应收账款”明细账的账页格式一般采用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三栏式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多栏式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卡片式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数量金额式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9、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同类企业收入应采用相同的标准，所体现的会计信息质量要求是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可比性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可靠性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相关性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及时性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10、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下列各项中，不属于对账内容的是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账表核对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账证核对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账账核对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账实核对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因单位撤销所进行的财产清查，从清查范围看属于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定期清查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全面清查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局部清查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实地清查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从事会计工作必须持有的资格证书是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会计从业资格证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会计师证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注册会计师证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会计学专业毕业证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下列账户中，期末余额在贷方的是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“生产成本”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“库存商品”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“管理费用”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“短期借款”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>14、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下列会计核算的基本前提中，明确会计确认、计量、记录与报告空间范围的是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货币计量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会计分期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会计主体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持续经营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</w:rPr>
        <w:t xml:space="preserve">15、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记账凭证中，“记账”栏标记的“√”表示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此凭证作废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B. 不需登记入账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C. 已经登记入账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eastAsia="宋体" w:cs="宋体"/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D. 此凭证编制正确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ascii="宋体" w:hAnsi="宋体" w:eastAsia="宋体" w:cs="宋体"/>
          <w:b w:val="0"/>
          <w:sz w:val="24"/>
          <w:szCs w:val="24"/>
        </w:rPr>
      </w:pPr>
    </w:p>
    <w:p>
      <w:pPr>
        <w:spacing w:line="360" w:lineRule="auto"/>
        <w:jc w:val="left"/>
      </w:pPr>
      <w:r>
        <w:rPr>
          <w:rFonts w:hint="eastAsia" w:ascii="宋体" w:hAnsi="宋体" w:cs="宋体"/>
          <w:b/>
          <w:sz w:val="24"/>
        </w:rPr>
        <w:t>二、</w:t>
      </w:r>
      <w:r>
        <w:rPr>
          <w:rFonts w:hint="eastAsia" w:ascii="宋体" w:hAnsi="宋体" w:cs="宋体"/>
          <w:b/>
          <w:sz w:val="24"/>
          <w:lang w:eastAsia="zh-CN"/>
        </w:rPr>
        <w:t>判断</w:t>
      </w:r>
      <w:r>
        <w:rPr>
          <w:rFonts w:hint="eastAsia" w:ascii="宋体" w:hAnsi="宋体" w:cs="宋体"/>
          <w:b/>
          <w:sz w:val="24"/>
        </w:rPr>
        <w:t>题（每小题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企业必须每日编制一次科目汇总表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为了编制财务报表，财务人员必须及时按期结账，特殊情况下可以提前结账。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预付账款属于企业的资产。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原材料应按公允价值的属性进行计量，并按照购进原材料的公允价值入账。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《中华人民共和国会计法》规范了会计人员的行为，是根据会计准则制定的。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某企业购入一套机械设备用于生产，款项以银行存款支付，该企业应该做的会计分录是：借记固定资产，贷记银行存款。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“预收账款”账户的期末余额可能在借方，也可能在贷方。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按照我国相关规定，所有企业均需单独设置会计机构。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复式记账可以对账户记录的结果进行试算平衡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10、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>费用类账户的结构与负债及所有者权益类账户结构基本相同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。（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</w:t>
      </w:r>
      <w:r>
        <w:rPr>
          <w:rFonts w:hint="eastAsia" w:ascii="宋体" w:hAnsi="宋体" w:cs="宋体"/>
          <w:b/>
          <w:sz w:val="24"/>
          <w:lang w:eastAsia="zh-CN"/>
        </w:rPr>
        <w:t>填空题</w:t>
      </w:r>
      <w:r>
        <w:rPr>
          <w:rFonts w:hint="eastAsia" w:ascii="宋体" w:hAnsi="宋体" w:cs="宋体"/>
          <w:b/>
          <w:sz w:val="24"/>
        </w:rPr>
        <w:t>（每小题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分，共</w:t>
      </w:r>
      <w:r>
        <w:rPr>
          <w:rFonts w:hint="eastAsia" w:ascii="宋体" w:hAnsi="宋体" w:cs="宋体"/>
          <w:b/>
          <w:sz w:val="24"/>
          <w:lang w:val="en-US" w:eastAsia="zh-CN"/>
        </w:rPr>
        <w:t>2</w:t>
      </w:r>
      <w:r>
        <w:rPr>
          <w:rFonts w:hint="eastAsia" w:ascii="宋体" w:hAnsi="宋体" w:cs="宋体"/>
          <w:b/>
          <w:sz w:val="24"/>
        </w:rPr>
        <w:t>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企业的利润形成以后，可以分为三部分：一部分作为投资收益，分配给（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）；一部分以盈余公积的形式留存企业；一部分以未分配利润的形式保留企业账上。后两者合称为企业的留存收益。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所有者权益的构成内容通常划分为实收资本、资本公积、（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）和未分配利润等项目。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收入和（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）是反映行政事业单位一定时期收入和支出情况的会计要素。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（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）是依据企业经济业务的具体内容设置的，它所提供的明细核算资料主要是为满足企业內部经营管理的需要。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5、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溢价部分，此外，还包括直接计入（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）的利得和损失。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6、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企业的负债按其流动性可分为流动负债和（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7、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企业的六大会计要素为资产、负债、（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）、收入、费用和利润。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 w:val="0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8、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流动负债包括（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 ）、应付及预收账款、应交税费、应付职工薪酬等。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9、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（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        </w:t>
      </w:r>
      <w:r>
        <w:rPr>
          <w:rFonts w:ascii="宋体" w:hAnsi="宋体" w:eastAsia="宋体" w:cs="宋体"/>
          <w:b w:val="0"/>
          <w:bCs w:val="0"/>
          <w:sz w:val="24"/>
          <w:szCs w:val="24"/>
        </w:rPr>
        <w:t xml:space="preserve"> ）是以折旧费的形式转移的。为生产产品而发生的固定资产折旧构成制造成本的一部分，应当计入产品成本；于制造产品无直接关系的固定资产折旧构成管理费</w:t>
      </w:r>
      <w:r>
        <w:rPr>
          <w:rFonts w:ascii="宋体" w:hAnsi="宋体" w:eastAsia="宋体" w:cs="宋体"/>
          <w:b w:val="0"/>
          <w:sz w:val="24"/>
          <w:szCs w:val="24"/>
        </w:rPr>
        <w:t>用的一部分，不应当计入产品成本。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10、</w:t>
      </w:r>
      <w:r>
        <w:rPr>
          <w:rFonts w:ascii="宋体" w:hAnsi="宋体" w:eastAsia="宋体" w:cs="宋体"/>
          <w:b w:val="0"/>
          <w:sz w:val="24"/>
          <w:szCs w:val="24"/>
        </w:rPr>
        <w:t xml:space="preserve">会计六要素中既有反映财务状况的要素，也含反映（   </w:t>
      </w: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 xml:space="preserve">             </w:t>
      </w:r>
      <w:r>
        <w:rPr>
          <w:rFonts w:ascii="宋体" w:hAnsi="宋体" w:eastAsia="宋体" w:cs="宋体"/>
          <w:b w:val="0"/>
          <w:sz w:val="24"/>
          <w:szCs w:val="24"/>
        </w:rPr>
        <w:t xml:space="preserve"> ）的要素。</w:t>
      </w:r>
    </w:p>
    <w:p>
      <w:pPr>
        <w:rPr>
          <w:rFonts w:ascii="宋体" w:hAnsi="宋体" w:eastAsia="宋体" w:cs="宋体"/>
          <w:b/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四、简答题（</w:t>
      </w:r>
      <w:r>
        <w:rPr>
          <w:rFonts w:hint="eastAsia" w:ascii="宋体" w:hAnsi="宋体" w:cs="宋体"/>
          <w:b/>
          <w:sz w:val="24"/>
          <w:szCs w:val="24"/>
        </w:rPr>
        <w:t>每小题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15</w:t>
      </w:r>
      <w:r>
        <w:rPr>
          <w:rFonts w:hint="eastAsia" w:ascii="宋体" w:hAnsi="宋体" w:cs="宋体"/>
          <w:b/>
          <w:sz w:val="24"/>
          <w:szCs w:val="24"/>
        </w:rPr>
        <w:t>分，共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/>
          <w:sz w:val="24"/>
          <w:szCs w:val="24"/>
        </w:rPr>
        <w:t>0分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b w:val="0"/>
          <w:sz w:val="24"/>
          <w:szCs w:val="24"/>
        </w:rPr>
        <w:t>简述财产清查的一般方法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sz w:val="24"/>
          <w:szCs w:val="24"/>
          <w:lang w:val="en-US" w:eastAsia="zh-CN"/>
        </w:rPr>
        <w:t>2、</w:t>
      </w:r>
      <w:r>
        <w:rPr>
          <w:rFonts w:ascii="宋体" w:hAnsi="宋体" w:eastAsia="宋体" w:cs="宋体"/>
          <w:b w:val="0"/>
          <w:sz w:val="24"/>
          <w:szCs w:val="24"/>
        </w:rPr>
        <w:t>简述账户的特点</w:t>
      </w:r>
      <w:r>
        <w:rPr>
          <w:rFonts w:hint="eastAsia" w:ascii="宋体" w:hAnsi="宋体" w:cs="宋体"/>
          <w:b w:val="0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sz w:val="24"/>
          <w:szCs w:val="24"/>
        </w:rPr>
      </w:pPr>
    </w:p>
    <w:sectPr>
      <w:headerReference r:id="rId3" w:type="default"/>
      <w:footerReference r:id="rId4" w:type="default"/>
      <w:pgSz w:w="23814" w:h="16840" w:orient="landscape"/>
      <w:pgMar w:top="1418" w:right="1418" w:bottom="1418" w:left="1418" w:header="851" w:footer="992" w:gutter="2268"/>
      <w:cols w:space="425" w:num="2" w:sep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思源宋体 SemiBold">
    <w:panose1 w:val="02020600000000000000"/>
    <w:charset w:val="86"/>
    <w:family w:val="auto"/>
    <w:pitch w:val="default"/>
    <w:sig w:usb0="30000083" w:usb1="2BDF3C10" w:usb2="00000016" w:usb3="00000000" w:csb0="602E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7200" w:firstLineChars="4000"/>
    </w:pPr>
    <w:r>
      <w:rPr>
        <w:rFonts w:hint="eastAsia"/>
      </w:rPr>
      <w:t>《</w:t>
    </w:r>
    <w:r>
      <w:rPr>
        <w:rFonts w:hint="eastAsia"/>
        <w:lang w:eastAsia="zh-CN"/>
      </w:rPr>
      <w:t>会计基础</w:t>
    </w:r>
    <w:r>
      <w:rPr>
        <w:rFonts w:hint="eastAsia"/>
      </w:rPr>
      <w:t>》试卷 共</w:t>
    </w:r>
    <w:r>
      <w:fldChar w:fldCharType="begin"/>
    </w:r>
    <w:r>
      <w:rPr>
        <w:rStyle w:val="12"/>
      </w:rPr>
      <w:instrText xml:space="preserve"> NUMPAGES </w:instrText>
    </w:r>
    <w:r>
      <w:fldChar w:fldCharType="separate"/>
    </w:r>
    <w:r>
      <w:rPr>
        <w:rStyle w:val="12"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12"/>
      </w:rPr>
      <w:instrText xml:space="preserve"> PAGE </w:instrText>
    </w:r>
    <w:r>
      <w:fldChar w:fldCharType="separate"/>
    </w:r>
    <w:r>
      <w:rPr>
        <w:rStyle w:val="12"/>
      </w:rPr>
      <w:t>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420"/>
  <w:drawingGridHorizontalSpacing w:val="105"/>
  <w:drawingGridVerticalSpacing w:val="317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ViOWJjM2ViYjU0OWVmMTZiZWZlM2Q0YTY3MTJiZDY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310BF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16AB4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10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1ED3D41"/>
    <w:rsid w:val="02965E75"/>
    <w:rsid w:val="02BD19CE"/>
    <w:rsid w:val="02FF3DBF"/>
    <w:rsid w:val="088A7F5F"/>
    <w:rsid w:val="08CD1979"/>
    <w:rsid w:val="09463444"/>
    <w:rsid w:val="0C3E33A6"/>
    <w:rsid w:val="11E9090C"/>
    <w:rsid w:val="15B61ABE"/>
    <w:rsid w:val="16630CF6"/>
    <w:rsid w:val="1BAB226E"/>
    <w:rsid w:val="252C0416"/>
    <w:rsid w:val="283A3A13"/>
    <w:rsid w:val="28AB4A44"/>
    <w:rsid w:val="2DF67FF6"/>
    <w:rsid w:val="2E254102"/>
    <w:rsid w:val="2F88401C"/>
    <w:rsid w:val="326522D2"/>
    <w:rsid w:val="37EE6F1C"/>
    <w:rsid w:val="391952AE"/>
    <w:rsid w:val="39CF5FE7"/>
    <w:rsid w:val="3BB309D8"/>
    <w:rsid w:val="3DED2B57"/>
    <w:rsid w:val="3E322BB2"/>
    <w:rsid w:val="4487268D"/>
    <w:rsid w:val="46DB33BA"/>
    <w:rsid w:val="480F3A01"/>
    <w:rsid w:val="4F9214BC"/>
    <w:rsid w:val="4FD86DCF"/>
    <w:rsid w:val="513F1213"/>
    <w:rsid w:val="54E47CA0"/>
    <w:rsid w:val="55900510"/>
    <w:rsid w:val="56067F14"/>
    <w:rsid w:val="566A2753"/>
    <w:rsid w:val="56A73E80"/>
    <w:rsid w:val="571819DE"/>
    <w:rsid w:val="576F1DC6"/>
    <w:rsid w:val="584677F7"/>
    <w:rsid w:val="5A2F75A6"/>
    <w:rsid w:val="5A7D6ED9"/>
    <w:rsid w:val="5E3A43BF"/>
    <w:rsid w:val="5E9F255F"/>
    <w:rsid w:val="5EC71085"/>
    <w:rsid w:val="5FE03FD9"/>
    <w:rsid w:val="5FED7792"/>
    <w:rsid w:val="60CA365D"/>
    <w:rsid w:val="61D95752"/>
    <w:rsid w:val="62D831C7"/>
    <w:rsid w:val="65084669"/>
    <w:rsid w:val="656A1DF2"/>
    <w:rsid w:val="65D906AC"/>
    <w:rsid w:val="660D2EAF"/>
    <w:rsid w:val="674A02D9"/>
    <w:rsid w:val="679E4652"/>
    <w:rsid w:val="6B013B1C"/>
    <w:rsid w:val="6BC10951"/>
    <w:rsid w:val="6BC31FC7"/>
    <w:rsid w:val="6CC07A20"/>
    <w:rsid w:val="6DA8572B"/>
    <w:rsid w:val="736B1858"/>
    <w:rsid w:val="738E58CA"/>
    <w:rsid w:val="73D14120"/>
    <w:rsid w:val="744B11A9"/>
    <w:rsid w:val="7496778A"/>
    <w:rsid w:val="782B431F"/>
    <w:rsid w:val="793268CA"/>
    <w:rsid w:val="7EFA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4"/>
    <w:qFormat/>
    <w:uiPriority w:val="0"/>
    <w:rPr>
      <w:rFonts w:ascii="宋体"/>
      <w:sz w:val="18"/>
      <w:szCs w:val="1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  <w:rPr>
      <w:sz w:val="24"/>
      <w:szCs w:val="18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rPr>
      <w:sz w:val="24"/>
    </w:r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文档结构图 Char"/>
    <w:link w:val="2"/>
    <w:qFormat/>
    <w:uiPriority w:val="0"/>
    <w:rPr>
      <w:rFonts w:ascii="宋体"/>
      <w:kern w:val="2"/>
      <w:sz w:val="18"/>
      <w:szCs w:val="18"/>
    </w:rPr>
  </w:style>
  <w:style w:type="paragraph" w:customStyle="1" w:styleId="15">
    <w:name w:val="Body text|2"/>
    <w:basedOn w:val="1"/>
    <w:qFormat/>
    <w:uiPriority w:val="0"/>
    <w:rPr>
      <w:rFonts w:ascii="宋体" w:hAnsi="宋体" w:cs="宋体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nb</Company>
  <Pages>3</Pages>
  <Words>1654</Words>
  <Characters>1766</Characters>
  <Lines>13</Lines>
  <Paragraphs>3</Paragraphs>
  <TotalTime>24</TotalTime>
  <ScaleCrop>false</ScaleCrop>
  <LinksUpToDate>false</LinksUpToDate>
  <CharactersWithSpaces>2081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2014-12-24T01:20:00Z</dcterms:created>
  <dc:creator>lyh</dc:creator>
  <cp:lastModifiedBy>_GGGGG雯</cp:lastModifiedBy>
  <dcterms:modified xsi:type="dcterms:W3CDTF">2023-07-07T10:45:15Z</dcterms:modified>
  <dc:title>南 博 职 业 技 术 学 院 期 末 考 试 试 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6A1334F48C8E4C668FBDC2A74AC0C26B</vt:lpwstr>
  </property>
</Properties>
</file>