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-771525</wp:posOffset>
                </wp:positionH>
                <wp:positionV relativeFrom="paragraph">
                  <wp:posOffset>1905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5pt;margin-top:0.1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QZHAXXAAAACQEAAA8AAAAAAAAAAQAgAAAAIgAAAGRycy9kb3ducmV2LnhtbFBLAQIU&#10;ABQAAAAIAIdO4kBhBHRL9AEAAPQDAAAOAAAAAAAAAAEAIAAAACYBAABkcnMvZTJvRG9jLnhtbFBL&#10;BQYAAAAABgAGAFkBAACM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会计学</w:t>
      </w:r>
      <w:bookmarkStart w:id="0" w:name="_GoBack"/>
      <w:bookmarkEnd w:id="0"/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tbl>
      <w:tblPr>
        <w:tblStyle w:val="4"/>
        <w:tblpPr w:leftFromText="180" w:rightFromText="180" w:vertAnchor="page" w:horzAnchor="page" w:tblpX="2086" w:tblpY="384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ind w:left="576"/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4"/>
        <w:tblpPr w:leftFromText="180" w:rightFromText="180" w:vertAnchor="text" w:horzAnchor="page" w:tblpX="1" w:tblpY="129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tabs>
          <w:tab w:val="left" w:pos="2709"/>
        </w:tabs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>
      <w:pPr>
        <w:autoSpaceDE w:val="0"/>
        <w:autoSpaceDN w:val="0"/>
        <w:adjustRightInd w:val="0"/>
        <w:spacing w:line="300" w:lineRule="auto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一、概念解释（25分）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1.权责发生制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资产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谨慎性原则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实地盘存制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利润表</w:t>
      </w:r>
    </w:p>
    <w:p>
      <w:pPr>
        <w:rPr>
          <w:rFonts w:ascii="宋体" w:hAnsi="宋体" w:cs="宋体"/>
          <w:sz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>选择题（40分）</w:t>
      </w:r>
    </w:p>
    <w:p>
      <w:pPr>
        <w:numPr>
          <w:numId w:val="0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某企业采用计划成本计价法对材料进行核算，已知期初材料成本差异贷方余额3000 元，本期购进材料3000公斤，单价14元，计划单位成本为12元，则期末“材料成本差异”账户余额为(     )。</w:t>
      </w:r>
    </w:p>
    <w:p>
      <w:pPr>
        <w:numPr>
          <w:numId w:val="0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A.</w:t>
      </w:r>
      <w:r>
        <w:rPr>
          <w:rFonts w:hint="eastAsia" w:ascii="宋体" w:hAnsi="宋体" w:cs="宋体"/>
          <w:sz w:val="24"/>
        </w:rPr>
        <w:t>借方余额3000元    B.贷方余额3000元     C.借方余额6000元      D.贷方余额9000元</w:t>
      </w:r>
    </w:p>
    <w:p>
      <w:pPr>
        <w:numPr>
          <w:numId w:val="0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一辆运输汽车原始价值为100000 元，估计净残值10000 元，预计行驶里程300000公里，最初三年每年实际行驶里程分别为60000 公里、58000 公里、62000公里，按工作量法计提折旧，第三年年末该运输车的账面净值为(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A.36000元         B.46000元          C.54000元       D.60000元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3.某企业某年末“库存商品”账户借方余额300000元，“原材料”账户借方余额8000元，“低值易耗品”账户借方余额4000 元，“材料成本差异”账户贷方余额2500元，则资产负债表中“存货”项目金额为(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A.300000元        B.309500元       C.312000元       D.314500 元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4.不能作为记帐依据的是(   )。</w:t>
      </w:r>
    </w:p>
    <w:p>
      <w:pPr>
        <w:spacing w:line="360" w:lineRule="auto"/>
        <w:rPr>
          <w:rFonts w:ascii="宋体" w:hAnsi="宋体" w:cs="宋体"/>
          <w:color w:val="2F2F2F"/>
          <w:sz w:val="24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A．发货票    B．收货单    C．入库单    D.经济合同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5.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通过试算平衡能够查出的错误有(   )。</w:t>
      </w:r>
    </w:p>
    <w:p>
      <w:p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A．漏记经济业务    B．重汇经济业务    C．记帐方向错误    D．借贷金额不对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6.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企业预6.企业付保险金，应借记(   )帐户。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A．预提费用    B．待摊费用    C．银行存款     D.管理费用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7.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通常在年度决算之前，要(   )。</w:t>
      </w: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A对企业所有财产进行技术推算盘点    B．对企业所有财产进行全面清查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宋体"/>
          <w:color w:val="2F2F2F"/>
          <w:sz w:val="24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对企业一部分财产进行清查       D．对企业流动性较大的财产进行全面清查</w:t>
      </w:r>
    </w:p>
    <w:p>
      <w:pPr>
        <w:numPr>
          <w:ilvl w:val="0"/>
          <w:numId w:val="4"/>
        </w:num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下列不属于采购费用的项目有(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>A.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材料买价  B．运杂费   C．途中合理损耗  D.采购员差旅费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三栏式现金日记帐一般由(    )登记。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>A.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会计    B．经手人    C．出纳    D．会计主管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在实地盘存制下，平时帐面上应登记的内容有(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>A.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存货的增加  B．存货的减少  C．结存的存货  D．存货的损耗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11.损益类帐户期末应( 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A．没有余额    B．借方余额  C．贷方余额  D．借贷方均有余额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12.企业本月销售产品10000元，收到货款6000元，收到上月产品成本销售货款8000元，收到预收货款7000元，则在收付实现制原则下，应确认为本月收入的是(   )元。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A．21000    B．18000    C．14000    D．10000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13.下列凭证中，不能用来登记总分类帐户的是(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A．原始凭证    B．记帐凭证  C．汇总记帐凭证  D．科目汇总表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14.某企业购入丙材料，增值税专用发票上注明货款20000元，增值税3400元，发生包装费，运杂费共计300元，丙材料的采购成本为(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A．20000元  B．23400元  C．20300元  D．23700元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15.“预提费用”帐户是用来核算( 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A．先计入成本后支付的费用    B．先支付后计入成本的费用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C．先预提后计入成本的费用    D．先预提后摊销的费用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16.某企业99年末负债与所有者权益的比例为1：3，则所有者权益是资产的(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A．40％    B．25％    C．33％    D．75％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17.对应收帐款进行明细分类核算时，其明细帐格式应采用( 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A．多栏式    B．三栏式  C．数量金额式  D.数量式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18.将现金2000元存入银行，出纳人员应填制( 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A．转帐凭证  B．原始凭证  C．收款凭证  D．付款凭证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19.会计报表中反映一定日期财务情况的报表是(    )。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A．损益表    B．利润分配表  C．资产负债表  D．财务状况变动表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20.企业发生原材料盘亏价值500元，经查明属企业管理制度不严所致，此项业务应在(   )帐户中核算．</w:t>
      </w:r>
    </w:p>
    <w:p>
      <w:pPr>
        <w:numPr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A.应付帐款  B．营业外支出  C．管理费用  D．其他应收款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2F2F2F"/>
          <w:shd w:val="clear" w:color="auto" w:fill="FFFFFF"/>
        </w:rPr>
      </w:pPr>
      <w:r>
        <w:rPr>
          <w:rFonts w:hint="eastAsia" w:ascii="宋体" w:hAnsi="宋体" w:cs="宋体"/>
          <w:b/>
          <w:bCs/>
          <w:color w:val="2F2F2F"/>
          <w:shd w:val="clear" w:color="auto" w:fill="FFFFFF"/>
        </w:rPr>
        <w:t>三、判断题（20分）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1．所有者权益是指企业投资人对企业资产的所有权。       </w:t>
      </w: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 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2．企业收到某单位还来前欠货款1万元。该项经济业务会引起会计等式左右两方会计要素产生同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时增加的变化。                                        </w:t>
      </w: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 (     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3．帐户的基本结构是增加，减少，余额，故帐户的格式设计是这三方面的内容。</w:t>
      </w: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4．会计科目仅是名称而己，若要体现会计要素的增减变化及变化后的结果则要借助于帐户。   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5．无论何种帐务处理程序，都需要日记账、明细帐分别与总帐定期核对。 </w:t>
      </w: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6．采用记帐凭证核算程序，不仅可以简化登已总帐的工作，而且便于检查和分析经济业务。   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 xml:space="preserve">7.损益表中的“本期数”即本月实际发生数，它不包括上月。 </w:t>
      </w:r>
      <w:r>
        <w:rPr>
          <w:rFonts w:hint="eastAsia" w:ascii="宋体" w:hAnsi="宋体" w:cs="宋体"/>
          <w:color w:val="2F2F2F"/>
          <w:sz w:val="24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2F2F2F"/>
          <w:sz w:val="24"/>
          <w:shd w:val="clear" w:color="auto" w:fill="FFFFFF"/>
        </w:rPr>
        <w:t>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8.对盘亏存货的净损失，属于一般经营损失部分，经批准应计入管理费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用。 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9．企业无法支付的应付款项、出租固定资产的收入、销售材料的收入都属于营业外收入。     (    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color w:val="2F2F2F"/>
          <w:sz w:val="24"/>
          <w:shd w:val="clear" w:color="auto" w:fill="FFFFFF"/>
        </w:rPr>
      </w:pPr>
      <w:r>
        <w:rPr>
          <w:rFonts w:hint="eastAsia" w:ascii="宋体" w:hAnsi="宋体" w:cs="宋体"/>
          <w:color w:val="2F2F2F"/>
          <w:sz w:val="24"/>
          <w:shd w:val="clear" w:color="auto" w:fill="FFFFFF"/>
        </w:rPr>
        <w:t>10.在权责发生制下，本月预收下月贷款存入银行应列作本月收入。 (    )</w:t>
      </w:r>
    </w:p>
    <w:p>
      <w:pPr>
        <w:pStyle w:val="3"/>
        <w:widowControl/>
        <w:shd w:val="clear" w:color="auto" w:fill="FFFFFF"/>
        <w:jc w:val="left"/>
        <w:rPr>
          <w:rFonts w:ascii="宋体" w:hAnsi="宋体" w:cs="宋体"/>
          <w:b/>
          <w:bCs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jc w:val="left"/>
        <w:rPr>
          <w:rFonts w:ascii="宋体" w:hAnsi="宋体" w:cs="宋体"/>
          <w:b/>
          <w:bCs/>
          <w:color w:val="2F2F2F"/>
          <w:shd w:val="clear" w:color="auto" w:fill="FFFFFF"/>
        </w:rPr>
      </w:pPr>
      <w:r>
        <w:rPr>
          <w:rFonts w:hint="eastAsia" w:ascii="宋体" w:hAnsi="宋体" w:cs="宋体"/>
          <w:b/>
          <w:bCs/>
          <w:color w:val="2F2F2F"/>
          <w:shd w:val="clear" w:color="auto" w:fill="FFFFFF"/>
        </w:rPr>
        <w:t>四、简答题（15分）</w:t>
      </w:r>
    </w:p>
    <w:p>
      <w:pPr>
        <w:pStyle w:val="3"/>
        <w:widowControl/>
        <w:shd w:val="clear" w:color="auto" w:fill="FFFFFF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jc w:val="left"/>
        <w:rPr>
          <w:rFonts w:ascii="宋体" w:hAnsi="宋体" w:cs="宋体"/>
          <w:color w:val="2F2F2F"/>
          <w:shd w:val="clear" w:color="auto" w:fill="FFFFFF"/>
        </w:rPr>
      </w:pPr>
      <w:r>
        <w:rPr>
          <w:rFonts w:hint="eastAsia" w:ascii="宋体" w:hAnsi="宋体" w:cs="宋体"/>
          <w:color w:val="2F2F2F"/>
          <w:shd w:val="clear" w:color="auto" w:fill="FFFFFF"/>
        </w:rPr>
        <w:t>1.简述总帐于明细帐的联系与区别，说明总帐与明细帐平行登记的要点?</w:t>
      </w:r>
    </w:p>
    <w:p>
      <w:pPr>
        <w:pStyle w:val="3"/>
        <w:widowControl/>
        <w:shd w:val="clear" w:color="auto" w:fill="FFFFFF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1" w:afterAutospacing="1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1" w:afterAutospacing="1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1" w:afterAutospacing="1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1" w:afterAutospacing="1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1" w:afterAutospacing="1"/>
        <w:jc w:val="left"/>
        <w:rPr>
          <w:rFonts w:ascii="宋体" w:hAnsi="宋体" w:cs="宋体"/>
          <w:color w:val="2F2F2F"/>
          <w:shd w:val="clear" w:color="auto" w:fill="FFFFFF"/>
        </w:rPr>
      </w:pPr>
    </w:p>
    <w:p>
      <w:pPr>
        <w:spacing w:line="360" w:lineRule="auto"/>
        <w:rPr>
          <w:rFonts w:ascii="宋体" w:hAnsi="宋体" w:cs="宋体"/>
          <w:color w:val="2F2F2F"/>
          <w:sz w:val="24"/>
          <w:shd w:val="clear" w:color="auto" w:fill="FFFFFF"/>
        </w:rPr>
      </w:pPr>
    </w:p>
    <w:p>
      <w:pPr>
        <w:rPr>
          <w:rFonts w:ascii="宋体" w:hAnsi="宋体" w:cs="宋体"/>
          <w:color w:val="2F2F2F"/>
          <w:sz w:val="24"/>
          <w:shd w:val="clear" w:color="auto" w:fill="FFFFFF"/>
        </w:rPr>
      </w:pPr>
    </w:p>
    <w:p>
      <w:pPr>
        <w:rPr>
          <w:rFonts w:ascii="宋体" w:hAnsi="宋体" w:cs="宋体"/>
          <w:color w:val="2F2F2F"/>
          <w:sz w:val="24"/>
          <w:shd w:val="clear" w:color="auto" w:fill="FFFFFF"/>
        </w:rPr>
      </w:pPr>
    </w:p>
    <w:p>
      <w:pPr>
        <w:rPr>
          <w:rFonts w:ascii="宋体" w:hAnsi="宋体" w:cs="宋体"/>
          <w:sz w:val="24"/>
        </w:rPr>
      </w:pPr>
    </w:p>
    <w:p>
      <w:pPr>
        <w:numPr>
          <w:numId w:val="0"/>
        </w:numPr>
        <w:spacing w:line="360" w:lineRule="auto"/>
        <w:rPr>
          <w:rFonts w:hint="default" w:ascii="宋体" w:hAnsi="宋体" w:cs="宋体"/>
          <w:color w:val="2F2F2F"/>
          <w:sz w:val="24"/>
          <w:shd w:val="clear" w:color="auto" w:fill="FFFFFF"/>
          <w:lang w:val="en-US" w:eastAsia="zh-CN"/>
        </w:rPr>
      </w:pPr>
    </w:p>
    <w:sectPr>
      <w:footerReference r:id="rId3" w:type="default"/>
      <w:footerReference r:id="rId4" w:type="even"/>
      <w:pgSz w:w="23811" w:h="16838" w:orient="landscape"/>
      <w:pgMar w:top="1440" w:right="1077" w:bottom="697" w:left="1701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93ED81"/>
    <w:multiLevelType w:val="singleLevel"/>
    <w:tmpl w:val="A493ED8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1271C940"/>
    <w:multiLevelType w:val="singleLevel"/>
    <w:tmpl w:val="1271C94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E7BFCA1"/>
    <w:multiLevelType w:val="singleLevel"/>
    <w:tmpl w:val="3E7BFC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A8811B"/>
    <w:multiLevelType w:val="singleLevel"/>
    <w:tmpl w:val="5EA8811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24701"/>
    <w:rsid w:val="01D178F3"/>
    <w:rsid w:val="01D837B4"/>
    <w:rsid w:val="14E60222"/>
    <w:rsid w:val="1A2D6367"/>
    <w:rsid w:val="1ED60F34"/>
    <w:rsid w:val="2AD33A61"/>
    <w:rsid w:val="2BA92AB6"/>
    <w:rsid w:val="2BBF0614"/>
    <w:rsid w:val="341F7EF7"/>
    <w:rsid w:val="3DA16F8C"/>
    <w:rsid w:val="3E724F0A"/>
    <w:rsid w:val="404435D4"/>
    <w:rsid w:val="44AA5213"/>
    <w:rsid w:val="45FF3113"/>
    <w:rsid w:val="4A353230"/>
    <w:rsid w:val="50B62A8E"/>
    <w:rsid w:val="522955CB"/>
    <w:rsid w:val="54DF37AC"/>
    <w:rsid w:val="5C0722F0"/>
    <w:rsid w:val="61BA7729"/>
    <w:rsid w:val="688644EE"/>
    <w:rsid w:val="6F1478F0"/>
    <w:rsid w:val="77D93389"/>
    <w:rsid w:val="79A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character" w:styleId="7">
    <w:name w:val="FollowedHyperlink"/>
    <w:basedOn w:val="5"/>
    <w:qFormat/>
    <w:uiPriority w:val="0"/>
    <w:rPr>
      <w:color w:val="800080"/>
      <w:sz w:val="21"/>
      <w:szCs w:val="21"/>
      <w:u w:val="none"/>
    </w:rPr>
  </w:style>
  <w:style w:type="character" w:styleId="8">
    <w:name w:val="Hyperlink"/>
    <w:basedOn w:val="5"/>
    <w:qFormat/>
    <w:uiPriority w:val="0"/>
    <w:rPr>
      <w:color w:val="0000FF"/>
      <w:sz w:val="21"/>
      <w:szCs w:val="21"/>
      <w:u w:val="none"/>
    </w:rPr>
  </w:style>
  <w:style w:type="paragraph" w:customStyle="1" w:styleId="9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10">
    <w:name w:val="一级"/>
    <w:basedOn w:val="9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11">
    <w:name w:val="二级"/>
    <w:basedOn w:val="9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2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3">
    <w:name w:val="致谢"/>
    <w:basedOn w:val="12"/>
    <w:qFormat/>
    <w:uiPriority w:val="0"/>
    <w:pPr>
      <w:jc w:val="center"/>
    </w:pPr>
  </w:style>
  <w:style w:type="paragraph" w:customStyle="1" w:styleId="14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5">
    <w:name w:val="三级"/>
    <w:basedOn w:val="11"/>
    <w:link w:val="16"/>
    <w:qFormat/>
    <w:uiPriority w:val="0"/>
    <w:pPr>
      <w:jc w:val="left"/>
      <w:outlineLvl w:val="2"/>
    </w:pPr>
    <w:rPr>
      <w:rFonts w:eastAsia="宋体"/>
    </w:rPr>
  </w:style>
  <w:style w:type="character" w:customStyle="1" w:styleId="16">
    <w:name w:val="三级 Char"/>
    <w:link w:val="15"/>
    <w:qFormat/>
    <w:uiPriority w:val="0"/>
    <w:rPr>
      <w:rFonts w:eastAsia="宋体"/>
    </w:rPr>
  </w:style>
  <w:style w:type="character" w:customStyle="1" w:styleId="17">
    <w:name w:val="bshare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。!!!</cp:lastModifiedBy>
  <dcterms:modified xsi:type="dcterms:W3CDTF">2020-08-07T02:22:00Z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