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会计学参考答案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一、概念解释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会计核算应当以权责的发生作为会计确认的时间基础，亦即费用或收入是否计入某会计期间，不是以是否在该期间内收到或付出现金为标志，而是依据收入是否归属该期间的成果、费用是否由该期间负担来确定。(又称应收应付制或应计制）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过去的交易事项形成并由企业拥有或控制的资源，该资源预期会给企业带来经济利益。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亦称稳健性原则，是指企业对交易或者事项进行会计确认、计量和报告应当保持应有的谨慎，不应高估资产或者收益、低估负债或者费用。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又称实地盘存法，是根据实地盘点或技术推算期末实存数量，作为各项存货账面结存数量的方法。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利润表是根据“收入一费用=利润”的原理，反映企业在一定会计期间的经营成果的动态报表。</w:t>
      </w:r>
    </w:p>
    <w:p>
      <w:pPr>
        <w:numPr>
          <w:numId w:val="0"/>
        </w:numPr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二、单项选择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   2.B    3.B   4.D  5.D   6.B  7.B  8.D  9.C  10.A   11.A   12.A  13.  A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    15.A   16.D   17.B    18.D    19.C   20.C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三、判断题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1-10  错、错、对、对、对 错 错 错 对 错 错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四、解答题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联系：总帐和明细帐核算内容相同。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区别：总帐是所属明细帐的总括，对明细帐起着控制统驭的作用；明细帐是总帐的详细记录，对总帐户起着补充说明的作用。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平行登记的要点：(1)登记的经济业务内容一致。(2)登记的方向一致。(3)登记的金额一致。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D67B7D"/>
    <w:multiLevelType w:val="singleLevel"/>
    <w:tmpl w:val="93D67B7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D0F8466"/>
    <w:multiLevelType w:val="singleLevel"/>
    <w:tmpl w:val="CD0F8466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7004CFF"/>
    <w:multiLevelType w:val="singleLevel"/>
    <w:tmpl w:val="57004C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0341E"/>
    <w:rsid w:val="15D0341E"/>
    <w:rsid w:val="1B63632B"/>
    <w:rsid w:val="251B7ACB"/>
    <w:rsid w:val="2B792A8A"/>
    <w:rsid w:val="634B3B39"/>
    <w:rsid w:val="678C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2019-06-06T01:20:00Z</dcterms:created>
  <dc:creator>H⃝e⃝l⃝e⃝n⃝</dc:creator>
  <cp:lastModifiedBy>。!!!</cp:lastModifiedBy>
  <dcterms:modified xsi:type="dcterms:W3CDTF">2020-08-07T02:23:28Z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