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eastAsia="zh-CN"/>
        </w:rPr>
      </w:pPr>
      <w:r>
        <w:rPr>
          <w:rFonts w:hint="eastAsia"/>
          <w:b/>
          <w:bCs/>
          <w:sz w:val="32"/>
          <w:szCs w:val="32"/>
          <w:lang w:eastAsia="zh-CN"/>
        </w:rPr>
        <w:t>国际汇兑与结算试卷答案</w:t>
      </w:r>
    </w:p>
    <w:p>
      <w:pPr>
        <w:numPr>
          <w:ilvl w:val="0"/>
          <w:numId w:val="1"/>
        </w:numPr>
        <w:jc w:val="both"/>
        <w:rPr>
          <w:rFonts w:hint="eastAsia"/>
          <w:b/>
          <w:bCs/>
          <w:sz w:val="28"/>
          <w:szCs w:val="28"/>
          <w:lang w:eastAsia="zh-CN"/>
        </w:rPr>
      </w:pPr>
      <w:r>
        <w:rPr>
          <w:rFonts w:hint="eastAsia"/>
          <w:b/>
          <w:bCs/>
          <w:sz w:val="28"/>
          <w:szCs w:val="28"/>
          <w:lang w:eastAsia="zh-CN"/>
        </w:rPr>
        <w:t>名词解释</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1.汇票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出票人签发的,委托付款人在见票时或在指定日期无条件支付确定的金额给收款人或者持票人的票据。</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2.背书</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背书指持票人以转让其权利为目的而在汇票背面签字的一种行为。</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3.承兑</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承兑是指远期汇票的付款人签章余汇票的正面,明确表示于到期日支付票据金额的一种 票据行为。</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4.贴现</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贴现是指在远期汇票已承兑而尚未到期时,由银行或贴现公司按照汇票金额在扣除转让 日到汇款日的利息后,将余款提前垫付给持票人的票据行为。</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5. L/C</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信用证</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6.银行保函</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是银行应委托人的请求作为担保人向受益人开立的保证文件</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7.备用信用证</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备用信用证是不以清偿商品交易的价款为目的而已贷款融资或担保债务偿还为目的所开立的信用证</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8.议付</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付是指由一家银行买入信用证项下的汇票和单据,向受人人提供资金融通</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9.信用证软条款</w:t>
      </w:r>
      <w:r>
        <w:rPr>
          <w:rFonts w:hint="eastAsia" w:asciiTheme="minorEastAsia" w:hAnsiTheme="minorEastAsia" w:eastAsiaTheme="minorEastAsia" w:cstheme="minorEastAsia"/>
          <w:sz w:val="24"/>
          <w:szCs w:val="24"/>
          <w:lang w:val="en-US" w:eastAsia="zh-CN"/>
        </w:rPr>
        <w:t>:信</w:t>
      </w:r>
      <w:r>
        <w:rPr>
          <w:rFonts w:hint="eastAsia" w:asciiTheme="minorEastAsia" w:hAnsiTheme="minorEastAsia" w:eastAsiaTheme="minorEastAsia" w:cstheme="minorEastAsia"/>
          <w:sz w:val="24"/>
          <w:szCs w:val="24"/>
        </w:rPr>
        <w:t>用证软条款是指不可撤销信用证规定了信用证附条款生效的条款,或规定受益人提交某些难以取得的单据,使受人人处于不利地位,导致受益人履约和结汇存在风险隐患的条款。</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sz w:val="24"/>
          <w:szCs w:val="24"/>
        </w:rPr>
        <w:t>10.保兑</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保兑是保兑行应开证行请求,对其所开信用证加以保证兑付</w:t>
      </w:r>
      <w:r>
        <w:rPr>
          <w:rFonts w:hint="eastAsia" w:asciiTheme="minorEastAsia" w:hAnsiTheme="minorEastAsia" w:eastAsiaTheme="minorEastAsia" w:cstheme="minorEastAsia"/>
          <w:sz w:val="24"/>
          <w:szCs w:val="24"/>
          <w:lang w:eastAsia="zh-CN"/>
        </w:rPr>
        <w:t>。</w:t>
      </w:r>
    </w:p>
    <w:p>
      <w:pPr>
        <w:numPr>
          <w:ilvl w:val="0"/>
          <w:numId w:val="0"/>
        </w:numPr>
        <w:jc w:val="both"/>
        <w:rPr>
          <w:rFonts w:hint="eastAsia"/>
          <w:b/>
          <w:bCs/>
          <w:sz w:val="32"/>
          <w:szCs w:val="32"/>
          <w:lang w:eastAsia="zh-CN"/>
        </w:rPr>
      </w:pPr>
    </w:p>
    <w:p>
      <w:pPr>
        <w:numPr>
          <w:ilvl w:val="0"/>
          <w:numId w:val="1"/>
        </w:numPr>
        <w:jc w:val="both"/>
        <w:rPr>
          <w:rFonts w:hint="eastAsia"/>
          <w:b/>
          <w:bCs/>
          <w:sz w:val="28"/>
          <w:szCs w:val="28"/>
          <w:lang w:val="en-US" w:eastAsia="zh-CN"/>
        </w:rPr>
      </w:pPr>
      <w:r>
        <w:rPr>
          <w:rFonts w:hint="eastAsia"/>
          <w:b/>
          <w:bCs/>
          <w:sz w:val="28"/>
          <w:szCs w:val="28"/>
          <w:lang w:val="en-US" w:eastAsia="zh-CN"/>
        </w:rPr>
        <w:t>选择题</w:t>
      </w:r>
    </w:p>
    <w:p>
      <w:pPr>
        <w:numPr>
          <w:ilvl w:val="0"/>
          <w:numId w:val="0"/>
        </w:numPr>
        <w:jc w:val="both"/>
        <w:rPr>
          <w:rFonts w:hint="eastAsia"/>
          <w:b w:val="0"/>
          <w:bCs w:val="0"/>
          <w:sz w:val="28"/>
          <w:szCs w:val="28"/>
          <w:lang w:val="en-US" w:eastAsia="zh-CN"/>
        </w:rPr>
      </w:pPr>
      <w:r>
        <w:rPr>
          <w:rFonts w:hint="eastAsia"/>
          <w:b w:val="0"/>
          <w:bCs w:val="0"/>
          <w:sz w:val="28"/>
          <w:szCs w:val="28"/>
          <w:lang w:val="en-US" w:eastAsia="zh-CN"/>
        </w:rPr>
        <w:t>1-5   AAACB</w:t>
      </w:r>
    </w:p>
    <w:p>
      <w:pPr>
        <w:numPr>
          <w:ilvl w:val="0"/>
          <w:numId w:val="1"/>
        </w:numPr>
        <w:jc w:val="both"/>
        <w:rPr>
          <w:rFonts w:hint="eastAsia"/>
          <w:b/>
          <w:bCs/>
          <w:sz w:val="28"/>
          <w:szCs w:val="28"/>
          <w:lang w:val="en-US" w:eastAsia="zh-CN"/>
        </w:rPr>
      </w:pPr>
      <w:r>
        <w:rPr>
          <w:rFonts w:hint="eastAsia"/>
          <w:b/>
          <w:bCs/>
          <w:sz w:val="28"/>
          <w:szCs w:val="28"/>
          <w:lang w:val="en-US" w:eastAsia="zh-CN"/>
        </w:rPr>
        <w:t>简答题</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影响汇率变化的因素</w:t>
      </w:r>
      <w:r>
        <w:rPr>
          <w:rFonts w:hint="eastAsia" w:asciiTheme="minorEastAsia" w:hAnsiTheme="minorEastAsia" w:eastAsiaTheme="minorEastAsia" w:cstheme="minorEastAsia"/>
          <w:sz w:val="24"/>
          <w:szCs w:val="24"/>
          <w:lang w:eastAsia="zh-CN"/>
        </w:rPr>
        <w:t>有哪些？</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影响汇率变化的因素有 :①国际收支状况;②经济增长率的高低;③利率的变化;④通 货膨胀率的差异;⑤国际上重大经济、政治、军事事件;⑥政府的干预;⑦心理预期;⑧投机行为</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汇率变动对经济的影响</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①进出口贸易;②物价水平;③资本流动;④就业率;⑤进口 替代产业</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3、简述</w:t>
      </w:r>
      <w:r>
        <w:rPr>
          <w:rFonts w:hint="eastAsia" w:asciiTheme="minorEastAsia" w:hAnsiTheme="minorEastAsia" w:eastAsiaTheme="minorEastAsia" w:cstheme="minorEastAsia"/>
          <w:sz w:val="24"/>
          <w:szCs w:val="24"/>
        </w:rPr>
        <w:t>居民与非居民的区别</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国际收支中的居民不同于法律上的公民概念,是以居住地为标准划分的。所谓居民, 是指在一个国家(或地区)的居住期限达一年以上的经济单位。若居住不足一年,则该经济单位就是非居民。</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p>
    <w:p>
      <w:pPr>
        <w:numPr>
          <w:ilvl w:val="0"/>
          <w:numId w:val="0"/>
        </w:numPr>
        <w:jc w:val="both"/>
        <w:rPr>
          <w:rFonts w:hint="eastAsia"/>
          <w:b/>
          <w:bCs/>
          <w:sz w:val="28"/>
          <w:szCs w:val="28"/>
          <w:lang w:val="en-US" w:eastAsia="zh-CN"/>
        </w:rPr>
      </w:pPr>
      <w:bookmarkStart w:id="0" w:name="_GoBack"/>
      <w:bookmarkEnd w:id="0"/>
    </w:p>
    <w:p>
      <w:pPr>
        <w:numPr>
          <w:ilvl w:val="0"/>
          <w:numId w:val="1"/>
        </w:numPr>
        <w:jc w:val="both"/>
        <w:rPr>
          <w:rFonts w:hint="eastAsia"/>
          <w:b/>
          <w:bCs/>
          <w:sz w:val="28"/>
          <w:szCs w:val="28"/>
          <w:lang w:val="en-US" w:eastAsia="zh-CN"/>
        </w:rPr>
      </w:pPr>
      <w:r>
        <w:rPr>
          <w:rFonts w:hint="eastAsia"/>
          <w:b/>
          <w:bCs/>
          <w:sz w:val="28"/>
          <w:szCs w:val="28"/>
          <w:lang w:val="en-US" w:eastAsia="zh-CN"/>
        </w:rPr>
        <w:t>案例分析题</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r>
        <w:rPr>
          <w:rFonts w:hint="eastAsia"/>
          <w:b w:val="0"/>
          <w:bCs w:val="0"/>
          <w:sz w:val="28"/>
          <w:szCs w:val="28"/>
          <w:lang w:val="en-US" w:eastAsia="zh-CN"/>
        </w:rPr>
        <w:t>1、</w:t>
      </w:r>
      <w:r>
        <w:rPr>
          <w:rFonts w:hint="eastAsia" w:asciiTheme="minorEastAsia" w:hAnsiTheme="minorEastAsia" w:eastAsiaTheme="minorEastAsia" w:cstheme="minorEastAsia"/>
          <w:sz w:val="24"/>
          <w:szCs w:val="24"/>
          <w:lang w:eastAsia="zh-CN"/>
        </w:rPr>
        <w:t>答：</w:t>
      </w:r>
      <w:r>
        <w:rPr>
          <w:rFonts w:hint="eastAsia" w:asciiTheme="minorEastAsia" w:hAnsiTheme="minorEastAsia" w:eastAsiaTheme="minorEastAsia" w:cstheme="minorEastAsia"/>
          <w:sz w:val="24"/>
          <w:szCs w:val="24"/>
        </w:rPr>
        <w:t>不合理,因为信用证是一份独立文件,独立于合同。</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b w:val="0"/>
          <w:bCs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b w:val="0"/>
          <w:bCs w:val="0"/>
          <w:sz w:val="28"/>
          <w:szCs w:val="28"/>
          <w:lang w:val="en-US" w:eastAsia="zh-CN"/>
        </w:rPr>
      </w:pPr>
      <w:r>
        <w:rPr>
          <w:rFonts w:hint="eastAsia"/>
          <w:b w:val="0"/>
          <w:bCs w:val="0"/>
          <w:sz w:val="28"/>
          <w:szCs w:val="28"/>
          <w:lang w:val="en-US" w:eastAsia="zh-CN"/>
        </w:rPr>
        <w:t>2、</w:t>
      </w:r>
      <w:r>
        <w:rPr>
          <w:rFonts w:hint="eastAsia" w:asciiTheme="minorEastAsia" w:hAnsiTheme="minorEastAsia" w:eastAsiaTheme="minorEastAsia" w:cstheme="minorEastAsia"/>
          <w:sz w:val="24"/>
          <w:szCs w:val="24"/>
          <w:lang w:eastAsia="zh-CN"/>
        </w:rPr>
        <w:t>答：</w:t>
      </w:r>
      <w:r>
        <w:rPr>
          <w:rFonts w:hint="eastAsia" w:asciiTheme="minorEastAsia" w:hAnsiTheme="minorEastAsia" w:eastAsiaTheme="minorEastAsia" w:cstheme="minorEastAsia"/>
          <w:sz w:val="24"/>
          <w:szCs w:val="24"/>
        </w:rPr>
        <w:t>继续备货交单,因为保兑行和开证行承担同样的责任,都是第一性的付款责任。</w:t>
      </w:r>
    </w:p>
    <w:p>
      <w:pPr>
        <w:numPr>
          <w:ilvl w:val="0"/>
          <w:numId w:val="0"/>
        </w:numPr>
        <w:jc w:val="both"/>
        <w:rPr>
          <w:rFonts w:hint="eastAsia"/>
          <w:b w:val="0"/>
          <w:bCs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r>
        <w:rPr>
          <w:rFonts w:hint="eastAsia"/>
          <w:b w:val="0"/>
          <w:bCs w:val="0"/>
          <w:sz w:val="28"/>
          <w:szCs w:val="28"/>
          <w:lang w:val="en-US" w:eastAsia="zh-CN"/>
        </w:rPr>
        <w:t>3、</w:t>
      </w: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银行是否应追回已付货款,为什么?</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答：</w:t>
      </w:r>
      <w:r>
        <w:rPr>
          <w:rFonts w:hint="eastAsia" w:asciiTheme="minorEastAsia" w:hAnsiTheme="minorEastAsia" w:eastAsiaTheme="minorEastAsia" w:cstheme="minorEastAsia"/>
          <w:sz w:val="24"/>
          <w:szCs w:val="24"/>
        </w:rPr>
        <w:t>不应,因为银行付款的唯一条件是单证相符、单单相符,只要具备这个条件无论货物 如何开证行都须付款。</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我方公司是否有权拒绝向银行付款?为什么?</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答：</w:t>
      </w:r>
      <w:r>
        <w:rPr>
          <w:rFonts w:hint="eastAsia" w:asciiTheme="minorEastAsia" w:hAnsiTheme="minorEastAsia" w:eastAsiaTheme="minorEastAsia" w:cstheme="minorEastAsia"/>
          <w:sz w:val="24"/>
          <w:szCs w:val="24"/>
        </w:rPr>
        <w:t>无权,因为开证申请人有义务对银行的相符交单付款</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我方公司应采取什么救济措施?</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答：</w:t>
      </w:r>
      <w:r>
        <w:rPr>
          <w:rFonts w:hint="eastAsia" w:asciiTheme="minorEastAsia" w:hAnsiTheme="minorEastAsia" w:eastAsiaTheme="minorEastAsia" w:cstheme="minorEastAsia"/>
          <w:sz w:val="24"/>
          <w:szCs w:val="24"/>
        </w:rPr>
        <w:t>准备证据向出口方索赔。</w:t>
      </w:r>
    </w:p>
    <w:p>
      <w:pPr>
        <w:numPr>
          <w:ilvl w:val="0"/>
          <w:numId w:val="0"/>
        </w:numPr>
        <w:jc w:val="both"/>
        <w:rPr>
          <w:rFonts w:hint="eastAsia"/>
          <w:b w:val="0"/>
          <w:bCs w:val="0"/>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E129EE4"/>
    <w:multiLevelType w:val="singleLevel"/>
    <w:tmpl w:val="FE129EE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D178F3"/>
    <w:rsid w:val="01D837B4"/>
    <w:rsid w:val="06256878"/>
    <w:rsid w:val="14E60222"/>
    <w:rsid w:val="1A2D6367"/>
    <w:rsid w:val="1ED60F34"/>
    <w:rsid w:val="341F7EF7"/>
    <w:rsid w:val="3DA16F8C"/>
    <w:rsid w:val="45FF3113"/>
    <w:rsid w:val="49B24311"/>
    <w:rsid w:val="4A353230"/>
    <w:rsid w:val="522955CB"/>
    <w:rsid w:val="54DF37AC"/>
    <w:rsid w:val="68864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 w:type="paragraph" w:customStyle="1" w:styleId="5">
    <w:name w:val="正文1"/>
    <w:basedOn w:val="1"/>
    <w:uiPriority w:val="0"/>
    <w:pPr>
      <w:spacing w:line="300" w:lineRule="auto"/>
      <w:ind w:firstLine="562" w:firstLineChars="200"/>
      <w:jc w:val="left"/>
    </w:pPr>
    <w:rPr>
      <w:rFonts w:asciiTheme="minorAscii" w:hAnsiTheme="minorAscii"/>
      <w:sz w:val="24"/>
    </w:rPr>
  </w:style>
  <w:style w:type="paragraph" w:customStyle="1" w:styleId="6">
    <w:name w:val="一级"/>
    <w:basedOn w:val="5"/>
    <w:uiPriority w:val="0"/>
    <w:pPr>
      <w:spacing w:line="240" w:lineRule="auto"/>
      <w:ind w:firstLine="0" w:firstLineChars="0"/>
      <w:outlineLvl w:val="0"/>
    </w:pPr>
    <w:rPr>
      <w:rFonts w:eastAsia="黑体"/>
      <w:sz w:val="28"/>
    </w:rPr>
  </w:style>
  <w:style w:type="paragraph" w:customStyle="1" w:styleId="7">
    <w:name w:val="二级"/>
    <w:basedOn w:val="5"/>
    <w:uiPriority w:val="0"/>
    <w:pPr>
      <w:spacing w:line="240" w:lineRule="auto"/>
      <w:ind w:firstLine="0" w:firstLineChars="0"/>
      <w:outlineLvl w:val="1"/>
    </w:pPr>
  </w:style>
  <w:style w:type="paragraph" w:customStyle="1" w:styleId="8">
    <w:name w:val="参考文献"/>
    <w:basedOn w:val="1"/>
    <w:uiPriority w:val="0"/>
    <w:pPr>
      <w:jc w:val="left"/>
      <w:outlineLvl w:val="0"/>
    </w:pPr>
    <w:rPr>
      <w:rFonts w:eastAsia="黑体" w:asciiTheme="minorAscii" w:hAnsiTheme="minorAscii"/>
      <w:sz w:val="28"/>
    </w:rPr>
  </w:style>
  <w:style w:type="paragraph" w:customStyle="1" w:styleId="9">
    <w:name w:val="致谢"/>
    <w:basedOn w:val="8"/>
    <w:uiPriority w:val="0"/>
    <w:pPr>
      <w:jc w:val="center"/>
    </w:pPr>
  </w:style>
  <w:style w:type="paragraph" w:customStyle="1" w:styleId="10">
    <w:name w:val="结论"/>
    <w:basedOn w:val="2"/>
    <w:uiPriority w:val="0"/>
    <w:pPr>
      <w:spacing w:beforeAutospacing="0" w:afterAutospacing="0"/>
      <w:jc w:val="center"/>
      <w:outlineLvl w:val="0"/>
    </w:pPr>
    <w:rPr>
      <w:rFonts w:eastAsia="黑体" w:asciiTheme="minorAscii" w:hAnsiTheme="minorAscii"/>
      <w:kern w:val="0"/>
      <w:sz w:val="32"/>
      <w:lang w:bidi="ar"/>
    </w:rPr>
  </w:style>
  <w:style w:type="paragraph" w:customStyle="1" w:styleId="11">
    <w:name w:val="三级"/>
    <w:basedOn w:val="7"/>
    <w:link w:val="12"/>
    <w:qFormat/>
    <w:uiPriority w:val="0"/>
    <w:pPr>
      <w:jc w:val="left"/>
      <w:outlineLvl w:val="2"/>
    </w:pPr>
    <w:rPr>
      <w:rFonts w:eastAsia="宋体"/>
    </w:rPr>
  </w:style>
  <w:style w:type="character" w:customStyle="1" w:styleId="12">
    <w:name w:val="三级 Char"/>
    <w:link w:val="11"/>
    <w:qFormat/>
    <w:uiPriority w:val="0"/>
    <w:rPr>
      <w:rFonts w:eastAsia="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1</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A.东莞卫培教育教务黎老师</cp:lastModifiedBy>
  <dcterms:modified xsi:type="dcterms:W3CDTF">2019-11-20T05:54:39Z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