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-685800</wp:posOffset>
                </wp:positionH>
                <wp:positionV relativeFrom="paragraph">
                  <wp:posOffset>-198120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54pt;margin-top:-15.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20KmK9kAAAAMAQAADwAAAAAAAAABACAAAAAiAAAAZHJzL2Rvd25yZXYueG1sUEsB&#10;AhQAFAAAAAgAh07iQGEEdEv0AQAA9AMAAA4AAAAAAAAAAQAgAAAAKAEAAGRycy9lMm9Eb2MueG1s&#10;UEsFBgAAAAAGAAYAWQEAAI4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w:t>
      </w:r>
      <w:r>
        <w:rPr>
          <w:rFonts w:hint="eastAsia" w:ascii="黑体" w:hAnsi="宋体" w:eastAsia="黑体"/>
          <w:sz w:val="36"/>
          <w:lang w:val="en-US" w:eastAsia="zh-CN"/>
        </w:rPr>
        <w:t xml:space="preserve"> 国际汇兑与结算</w:t>
      </w:r>
      <w:r>
        <w:rPr>
          <w:rFonts w:hint="eastAsia" w:ascii="黑体" w:hAnsi="宋体" w:eastAsia="黑体"/>
          <w:sz w:val="36"/>
        </w:rPr>
        <w:t xml:space="preserve"> 》课程考试试卷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bookmarkStart w:id="0" w:name="_GoBack"/>
      <w:bookmarkEnd w:id="0"/>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p>
      <w:r>
        <w:rPr>
          <w:rFonts w:hint="eastAsia"/>
        </w:rPr>
        <w:t xml:space="preserve">  </w:t>
      </w:r>
    </w:p>
    <w:tbl>
      <w:tblPr>
        <w:tblStyle w:val="4"/>
        <w:tblpPr w:leftFromText="180" w:rightFromText="180" w:vertAnchor="page" w:horzAnchor="page" w:tblpX="2293" w:tblpY="4323"/>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rPr>
      </w:pPr>
    </w:p>
    <w:p>
      <w:pPr>
        <w:rPr>
          <w:rFonts w:hint="eastAsia" w:ascii="黑体" w:eastAsia="黑体"/>
          <w:b/>
        </w:rPr>
      </w:pPr>
    </w:p>
    <w:p>
      <w:pPr>
        <w:rPr>
          <w:rFonts w:hint="eastAsia" w:ascii="黑体" w:eastAsia="黑体"/>
          <w:b/>
        </w:rPr>
      </w:pPr>
    </w:p>
    <w:tbl>
      <w:tblPr>
        <w:tblStyle w:val="4"/>
        <w:tblpPr w:leftFromText="180" w:rightFromText="180" w:vertAnchor="text" w:horzAnchor="page" w:tblpX="2296" w:tblpY="81"/>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keepNext w:val="0"/>
        <w:keepLines w:val="0"/>
        <w:pageBreakBefore w:val="0"/>
        <w:widowControl w:val="0"/>
        <w:kinsoku/>
        <w:wordWrap/>
        <w:overflowPunct/>
        <w:topLinePunct w:val="0"/>
        <w:autoSpaceDE/>
        <w:autoSpaceDN/>
        <w:bidi w:val="0"/>
        <w:adjustRightInd/>
        <w:snapToGrid/>
        <w:spacing w:line="480" w:lineRule="auto"/>
        <w:jc w:val="both"/>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b/>
          <w:bCs/>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一、名词解释(每题 </w:t>
      </w:r>
      <w:r>
        <w:rPr>
          <w:rFonts w:hint="eastAsia" w:asciiTheme="minorEastAsia" w:hAnsiTheme="minorEastAsia" w:eastAsiaTheme="minorEastAsia" w:cstheme="minorEastAsia"/>
          <w:b/>
          <w:bCs/>
          <w:sz w:val="24"/>
          <w:szCs w:val="24"/>
          <w:lang w:val="en-US" w:eastAsia="zh-CN"/>
        </w:rPr>
        <w:t>3</w:t>
      </w:r>
      <w:r>
        <w:rPr>
          <w:rFonts w:hint="eastAsia" w:asciiTheme="minorEastAsia" w:hAnsiTheme="minorEastAsia" w:eastAsiaTheme="minorEastAsia" w:cstheme="minorEastAsia"/>
          <w:b/>
          <w:bCs/>
          <w:sz w:val="24"/>
          <w:szCs w:val="24"/>
        </w:rPr>
        <w:t xml:space="preserve">分,共 </w:t>
      </w:r>
      <w:r>
        <w:rPr>
          <w:rFonts w:hint="eastAsia" w:asciiTheme="minorEastAsia" w:hAnsiTheme="minorEastAsia" w:eastAsiaTheme="minorEastAsia" w:cstheme="minorEastAsia"/>
          <w:b/>
          <w:bCs/>
          <w:sz w:val="24"/>
          <w:szCs w:val="24"/>
          <w:lang w:val="en-US" w:eastAsia="zh-CN"/>
        </w:rPr>
        <w:t>3</w:t>
      </w:r>
      <w:r>
        <w:rPr>
          <w:rFonts w:hint="eastAsia" w:asciiTheme="minorEastAsia" w:hAnsiTheme="minorEastAsia" w:eastAsiaTheme="minorEastAsia" w:cstheme="minorEastAsia"/>
          <w:b/>
          <w:bCs/>
          <w:sz w:val="24"/>
          <w:szCs w:val="24"/>
        </w:rPr>
        <w:t>0分)</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1.汇票</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背书</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承兑</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贴现</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L/C</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numPr>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0" w:firstLine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银行保函</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400" w:lineRule="exact"/>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400" w:lineRule="exact"/>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7.备用信用证</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议付</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信用证软条款</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10.保兑</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选择题（每小题3分，共15分）</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1.在采用直接标价的前提下,如果需要比原来更少的本币就能兑换一定数量的外国货币,这表明 (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A .本币币值上升,外币币值下降,本币升值外币贬值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B .本币币值下降,外币币值上升,本币贬值外币升值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 .本币币值上升,外币币值下降,外币升值本币贬值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 .本币币值下降,外币币值上升,外币贬值本币升值</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2.隔日交割,即在成交后的第一个营业日内进行交割的是(</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A .即期外汇交易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B .远期外汇交易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 .中期外汇交易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D .长期外汇交易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3.银行购买外币现钞的价格要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A .低于外汇买入价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B .高于外汇买入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 .等于外汇买入价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 .等于中间汇率</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4.按外汇形式不同,外汇可以分为现钞和(</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A .自由外汇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B .贸易外汇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 .现汇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D .私人外汇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5.在间接标价法下,汇率的上升反映了(</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A .外币币值上升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B .本币币值上升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 .外币币值不变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 .无法确定</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jc w:val="both"/>
        <w:textAlignment w:val="auto"/>
        <w:outlineLvl w:val="9"/>
        <w:rPr>
          <w:rFonts w:hint="eastAsia" w:asciiTheme="minorEastAsia" w:hAnsiTheme="minorEastAsia" w:eastAsiaTheme="minorEastAsia" w:cstheme="minorEastAsia"/>
          <w:b/>
          <w:bCs/>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24"/>
          <w:szCs w:val="24"/>
          <w:lang w:val="en-US" w:eastAsia="zh-CN"/>
        </w:rPr>
        <w:t>三、简答题（每小题10分，共30分）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影响汇率变化的因素</w:t>
      </w:r>
      <w:r>
        <w:rPr>
          <w:rFonts w:hint="eastAsia" w:asciiTheme="minorEastAsia" w:hAnsiTheme="minorEastAsia" w:eastAsiaTheme="minorEastAsia" w:cstheme="minorEastAsia"/>
          <w:sz w:val="24"/>
          <w:szCs w:val="24"/>
          <w:lang w:eastAsia="zh-CN"/>
        </w:rPr>
        <w:t>有哪些？</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汇率变动对经济的影响</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3、简述</w:t>
      </w:r>
      <w:r>
        <w:rPr>
          <w:rFonts w:hint="eastAsia" w:asciiTheme="minorEastAsia" w:hAnsiTheme="minorEastAsia" w:eastAsiaTheme="minorEastAsia" w:cstheme="minorEastAsia"/>
          <w:sz w:val="24"/>
          <w:szCs w:val="24"/>
        </w:rPr>
        <w:t>居民与非居民的区别</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b/>
          <w:bCs/>
          <w:sz w:val="24"/>
          <w:szCs w:val="24"/>
        </w:rPr>
        <w:t>、案例分析(</w:t>
      </w:r>
      <w:r>
        <w:rPr>
          <w:rFonts w:hint="eastAsia" w:asciiTheme="minorEastAsia" w:hAnsiTheme="minorEastAsia" w:eastAsiaTheme="minorEastAsia" w:cstheme="minorEastAsia"/>
          <w:b/>
          <w:bCs/>
          <w:sz w:val="24"/>
          <w:szCs w:val="24"/>
          <w:lang w:val="en-US" w:eastAsia="zh-CN"/>
        </w:rPr>
        <w:t>1,2小题</w:t>
      </w:r>
      <w:r>
        <w:rPr>
          <w:rFonts w:hint="eastAsia" w:asciiTheme="minorEastAsia" w:hAnsiTheme="minorEastAsia" w:eastAsiaTheme="minorEastAsia" w:cstheme="minorEastAsia"/>
          <w:b/>
          <w:bCs/>
          <w:sz w:val="24"/>
          <w:szCs w:val="24"/>
        </w:rPr>
        <w:t xml:space="preserve">每题 </w:t>
      </w:r>
      <w:r>
        <w:rPr>
          <w:rFonts w:hint="eastAsia" w:asciiTheme="minorEastAsia" w:hAnsiTheme="minorEastAsia" w:eastAsiaTheme="minorEastAsia" w:cstheme="minorEastAsia"/>
          <w:b/>
          <w:bCs/>
          <w:sz w:val="24"/>
          <w:szCs w:val="24"/>
          <w:lang w:val="en-US" w:eastAsia="zh-CN"/>
        </w:rPr>
        <w:t>5</w:t>
      </w:r>
      <w:r>
        <w:rPr>
          <w:rFonts w:hint="eastAsia" w:asciiTheme="minorEastAsia" w:hAnsiTheme="minorEastAsia" w:eastAsiaTheme="minorEastAsia" w:cstheme="minorEastAsia"/>
          <w:b/>
          <w:bCs/>
          <w:sz w:val="24"/>
          <w:szCs w:val="24"/>
        </w:rPr>
        <w:t>分,</w:t>
      </w:r>
      <w:r>
        <w:rPr>
          <w:rFonts w:hint="eastAsia" w:asciiTheme="minorEastAsia" w:hAnsiTheme="minorEastAsia" w:eastAsiaTheme="minorEastAsia" w:cstheme="minorEastAsia"/>
          <w:b/>
          <w:bCs/>
          <w:sz w:val="24"/>
          <w:szCs w:val="24"/>
          <w:lang w:eastAsia="zh-CN"/>
        </w:rPr>
        <w:t>第</w:t>
      </w:r>
      <w:r>
        <w:rPr>
          <w:rFonts w:hint="eastAsia" w:asciiTheme="minorEastAsia" w:hAnsiTheme="minorEastAsia" w:eastAsiaTheme="minorEastAsia" w:cstheme="minorEastAsia"/>
          <w:b/>
          <w:bCs/>
          <w:sz w:val="24"/>
          <w:szCs w:val="24"/>
          <w:lang w:val="en-US" w:eastAsia="zh-CN"/>
        </w:rPr>
        <w:t>3</w:t>
      </w:r>
      <w:r>
        <w:rPr>
          <w:rFonts w:hint="eastAsia" w:asciiTheme="minorEastAsia" w:hAnsiTheme="minorEastAsia" w:eastAsiaTheme="minorEastAsia" w:cstheme="minorEastAsia"/>
          <w:b/>
          <w:bCs/>
          <w:sz w:val="24"/>
          <w:szCs w:val="24"/>
          <w:lang w:eastAsia="zh-CN"/>
        </w:rPr>
        <w:t>小题</w:t>
      </w:r>
      <w:r>
        <w:rPr>
          <w:rFonts w:hint="eastAsia" w:asciiTheme="minorEastAsia" w:hAnsiTheme="minorEastAsia" w:eastAsiaTheme="minorEastAsia" w:cstheme="minorEastAsia"/>
          <w:b/>
          <w:bCs/>
          <w:sz w:val="24"/>
          <w:szCs w:val="24"/>
          <w:lang w:val="en-US" w:eastAsia="zh-CN"/>
        </w:rPr>
        <w:t>15分，</w:t>
      </w:r>
      <w:r>
        <w:rPr>
          <w:rFonts w:hint="eastAsia" w:asciiTheme="minorEastAsia" w:hAnsiTheme="minorEastAsia" w:eastAsiaTheme="minorEastAsia" w:cstheme="minorEastAsia"/>
          <w:b/>
          <w:bCs/>
          <w:sz w:val="24"/>
          <w:szCs w:val="24"/>
        </w:rPr>
        <w:t xml:space="preserve">共 </w:t>
      </w:r>
      <w:r>
        <w:rPr>
          <w:rFonts w:hint="eastAsia" w:asciiTheme="minorEastAsia" w:hAnsiTheme="minorEastAsia" w:eastAsiaTheme="minorEastAsia" w:cstheme="minorEastAsia"/>
          <w:b/>
          <w:bCs/>
          <w:sz w:val="24"/>
          <w:szCs w:val="24"/>
          <w:lang w:val="en-US" w:eastAsia="zh-CN"/>
        </w:rPr>
        <w:t>25</w:t>
      </w:r>
      <w:r>
        <w:rPr>
          <w:rFonts w:hint="eastAsia" w:asciiTheme="minorEastAsia" w:hAnsiTheme="minorEastAsia" w:eastAsiaTheme="minorEastAsia" w:cstheme="minorEastAsia"/>
          <w:b/>
          <w:bCs/>
          <w:sz w:val="24"/>
          <w:szCs w:val="24"/>
        </w:rPr>
        <w:t>分)</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1.我国江苏省南通市某轻工产品进出口公司向外国某公司进口一批小家电产品,货物分两 批装运,支付方式为不可撤销议付信用证, 每批分别由中国银行某分行开立一份信用证。第一批货物装运后,卖方在有效期内向银行交单议付,议付行审单后,未发现不符点,即向该 商议付货款, 随后中国银行对议付行作了偿付。 南通公司在收到第一批货物后,发现货物品质不符合同规定,进而要求中国银行对第二份信用证项下的单据拒绝付款,但遭到中国银行的拒绝。试问,中国银行这样做是否有理?为什么?</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我</w:t>
      </w:r>
      <w:r>
        <w:rPr>
          <w:rFonts w:hint="eastAsia" w:asciiTheme="minorEastAsia" w:hAnsiTheme="minorEastAsia" w:eastAsiaTheme="minorEastAsia" w:cstheme="minorEastAsia"/>
          <w:sz w:val="24"/>
          <w:szCs w:val="24"/>
          <w:lang w:eastAsia="zh-CN"/>
        </w:rPr>
        <w:t>国</w:t>
      </w:r>
      <w:r>
        <w:rPr>
          <w:rFonts w:hint="eastAsia" w:asciiTheme="minorEastAsia" w:hAnsiTheme="minorEastAsia" w:eastAsiaTheme="minorEastAsia" w:cstheme="minorEastAsia"/>
          <w:sz w:val="24"/>
          <w:szCs w:val="24"/>
        </w:rPr>
        <w:t>某出口企业收到国外开来不可撤销信用证1份,由设在我国境内的某外资银行通知并加以保兑。我出口企业在货物装运后,正拟将有关单据交银行议付时, 忽接该外资银行通知,由于开证银行已宣布破产,该行不承担对该信用证的议付或付款责任,但可接受我出口公司委托向买方直接收取货款的业务。对此,你认为我方应如何处理为好?</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我国北方某化工进出口公司和美国尼克公司以CFR青岛条件订立了进口化肥500</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吨的合同,依合同规定我方公司开出以美国尼克公司为受益人的不可撤销的跟单信用证,总金额为280万美元。双方约定如发生争议则提交中国国际经济贸易仲裁委员会上海分会仲裁。 2002年5月货物装船后, 美国尼克公司持包括提单在内的全套单据在银行议付了货款。货到青岛后, 我方公司发现化肥有严重质量问题,立即请当地商检机构进行了检验,证实该批化肥是没有太大实用价值的饲料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于是,我方公司持商检证明要求银行追回已付款项,否则将拒绝向银行支付货款。根据上述情况,</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试问:</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银行是否应追回已付货款,为什么?</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我方公司是否有权拒绝向银行付款?为什么?</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我方公司应采取什么救济措施?</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p>
    <w:sectPr>
      <w:footerReference r:id="rId3" w:type="default"/>
      <w:footerReference r:id="rId4" w:type="even"/>
      <w:pgSz w:w="23757" w:h="16783" w:orient="landscape"/>
      <w:pgMar w:top="1800" w:right="1869" w:bottom="1797" w:left="2268" w:header="851" w:footer="1985" w:gutter="0"/>
      <w:cols w:equalWidth="0" w:num="2">
        <w:col w:w="9597" w:space="425"/>
        <w:col w:w="9597"/>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FFF1A6"/>
    <w:multiLevelType w:val="singleLevel"/>
    <w:tmpl w:val="E6FFF1A6"/>
    <w:lvl w:ilvl="0" w:tentative="0">
      <w:start w:val="2"/>
      <w:numFmt w:val="chineseCounting"/>
      <w:suff w:val="nothing"/>
      <w:lvlText w:val="%1、"/>
      <w:lvlJc w:val="left"/>
      <w:rPr>
        <w:rFonts w:hint="eastAsia"/>
      </w:rPr>
    </w:lvl>
  </w:abstractNum>
  <w:abstractNum w:abstractNumId="1">
    <w:nsid w:val="270AD345"/>
    <w:multiLevelType w:val="singleLevel"/>
    <w:tmpl w:val="270AD345"/>
    <w:lvl w:ilvl="0" w:tentative="0">
      <w:start w:val="5"/>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14E60222"/>
    <w:rsid w:val="17CA2BDB"/>
    <w:rsid w:val="1A2D6367"/>
    <w:rsid w:val="1ED60F34"/>
    <w:rsid w:val="341F7EF7"/>
    <w:rsid w:val="38E87029"/>
    <w:rsid w:val="3DA16F8C"/>
    <w:rsid w:val="45FF3113"/>
    <w:rsid w:val="4A353230"/>
    <w:rsid w:val="4C2534AC"/>
    <w:rsid w:val="522955CB"/>
    <w:rsid w:val="54DF37AC"/>
    <w:rsid w:val="5FA75E14"/>
    <w:rsid w:val="6886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7</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2019-11-20T05:54:51Z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